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6B" w:rsidRDefault="009129C8">
      <w:pPr>
        <w:spacing w:line="600" w:lineRule="exact"/>
        <w:jc w:val="center"/>
        <w:rPr>
          <w:rFonts w:ascii="方正小标宋简体" w:eastAsia="方正小标宋简体" w:hAnsi="黑体" w:cs="黑体"/>
          <w:bCs/>
          <w:color w:val="000000"/>
          <w:sz w:val="44"/>
          <w:szCs w:val="44"/>
        </w:rPr>
      </w:pPr>
      <w:r>
        <w:rPr>
          <w:rFonts w:ascii="方正小标宋简体" w:eastAsia="方正小标宋简体" w:hAnsi="黑体" w:cs="黑体" w:hint="eastAsia"/>
          <w:bCs/>
          <w:color w:val="000000"/>
          <w:sz w:val="44"/>
          <w:szCs w:val="44"/>
        </w:rPr>
        <w:t>团体标准《瞪羚企业培育服务规范》</w:t>
      </w:r>
    </w:p>
    <w:p w:rsidR="0030026B" w:rsidRDefault="009129C8">
      <w:pPr>
        <w:spacing w:line="600" w:lineRule="exact"/>
        <w:jc w:val="center"/>
        <w:rPr>
          <w:rFonts w:ascii="方正小标宋简体" w:eastAsia="方正小标宋简体" w:hAnsi="黑体" w:cs="黑体"/>
          <w:bCs/>
          <w:color w:val="000000"/>
          <w:sz w:val="44"/>
          <w:szCs w:val="44"/>
        </w:rPr>
      </w:pPr>
      <w:r>
        <w:rPr>
          <w:rFonts w:ascii="方正小标宋简体" w:eastAsia="方正小标宋简体" w:hAnsi="黑体" w:cs="黑体" w:hint="eastAsia"/>
          <w:bCs/>
          <w:color w:val="000000"/>
          <w:sz w:val="44"/>
          <w:szCs w:val="44"/>
        </w:rPr>
        <w:t>（征求意见稿）编制说明</w:t>
      </w:r>
    </w:p>
    <w:p w:rsidR="0030026B" w:rsidRDefault="0030026B">
      <w:pPr>
        <w:spacing w:line="600" w:lineRule="exact"/>
        <w:jc w:val="center"/>
        <w:rPr>
          <w:rFonts w:ascii="方正小标宋简体" w:eastAsia="方正小标宋简体" w:hAnsi="黑体" w:cs="黑体"/>
          <w:bCs/>
          <w:color w:val="000000"/>
          <w:sz w:val="44"/>
          <w:szCs w:val="44"/>
        </w:rPr>
      </w:pP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bCs/>
          <w:sz w:val="32"/>
          <w:szCs w:val="32"/>
        </w:rPr>
        <w:t>、</w:t>
      </w:r>
      <w:r>
        <w:rPr>
          <w:rFonts w:ascii="黑体" w:eastAsia="黑体" w:hAnsi="黑体" w:cs="黑体" w:hint="eastAsia"/>
          <w:bCs/>
          <w:sz w:val="32"/>
          <w:szCs w:val="32"/>
        </w:rPr>
        <w:t>项目来源</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根据</w:t>
      </w:r>
      <w:r>
        <w:rPr>
          <w:rFonts w:ascii="仿宋_GB2312" w:eastAsia="仿宋_GB2312" w:hAnsi="宋体" w:hint="eastAsia"/>
          <w:sz w:val="32"/>
          <w:szCs w:val="32"/>
        </w:rPr>
        <w:t>广西</w:t>
      </w:r>
      <w:r>
        <w:rPr>
          <w:rFonts w:ascii="仿宋_GB2312" w:eastAsia="仿宋_GB2312" w:hAnsi="宋体"/>
          <w:sz w:val="32"/>
          <w:szCs w:val="32"/>
        </w:rPr>
        <w:t>标准化协会</w:t>
      </w:r>
      <w:r>
        <w:rPr>
          <w:rFonts w:ascii="仿宋_GB2312" w:eastAsia="仿宋_GB2312" w:hAnsi="宋体" w:hint="eastAsia"/>
          <w:sz w:val="32"/>
          <w:szCs w:val="32"/>
        </w:rPr>
        <w:t>《关于下达2021年第四十批团体标准制修定项目计划的通知》（桂标协〔2021〕</w:t>
      </w:r>
      <w:r>
        <w:rPr>
          <w:rFonts w:ascii="仿宋_GB2312" w:eastAsia="仿宋_GB2312" w:hAnsi="宋体"/>
          <w:sz w:val="32"/>
          <w:szCs w:val="32"/>
        </w:rPr>
        <w:t>104</w:t>
      </w:r>
      <w:r>
        <w:rPr>
          <w:rFonts w:ascii="仿宋_GB2312" w:eastAsia="仿宋_GB2312" w:hAnsi="宋体" w:hint="eastAsia"/>
          <w:sz w:val="32"/>
          <w:szCs w:val="32"/>
        </w:rPr>
        <w:t>号）</w:t>
      </w:r>
      <w:r>
        <w:rPr>
          <w:rFonts w:ascii="仿宋_GB2312" w:eastAsia="仿宋_GB2312" w:hAnsi="宋体" w:hint="eastAsia"/>
          <w:sz w:val="32"/>
          <w:szCs w:val="32"/>
          <w:lang w:val="zh-CN"/>
        </w:rPr>
        <w:t>文件精神，</w:t>
      </w:r>
      <w:r>
        <w:rPr>
          <w:rFonts w:ascii="仿宋_GB2312" w:eastAsia="仿宋_GB2312" w:hAnsi="宋体" w:hint="eastAsia"/>
          <w:sz w:val="32"/>
          <w:szCs w:val="32"/>
        </w:rPr>
        <w:t>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lang w:val="zh-CN"/>
        </w:rPr>
        <w:t>提出，</w:t>
      </w:r>
      <w:r>
        <w:rPr>
          <w:rFonts w:ascii="仿宋_GB2312" w:eastAsia="仿宋_GB2312" w:hAnsi="宋体" w:hint="eastAsia"/>
          <w:sz w:val="32"/>
          <w:szCs w:val="32"/>
        </w:rPr>
        <w:t>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w:t>
      </w:r>
      <w:r>
        <w:rPr>
          <w:rFonts w:ascii="仿宋_GB2312" w:eastAsia="仿宋_GB2312" w:hAnsi="宋体"/>
          <w:sz w:val="32"/>
          <w:szCs w:val="32"/>
        </w:rPr>
        <w:t>广西</w:t>
      </w:r>
      <w:r>
        <w:rPr>
          <w:rFonts w:ascii="仿宋_GB2312" w:eastAsia="仿宋_GB2312" w:hAnsi="宋体" w:hint="eastAsia"/>
          <w:sz w:val="32"/>
          <w:szCs w:val="32"/>
        </w:rPr>
        <w:t>高新技术</w:t>
      </w:r>
      <w:r>
        <w:rPr>
          <w:rFonts w:ascii="仿宋_GB2312" w:eastAsia="仿宋_GB2312" w:hAnsi="宋体"/>
          <w:sz w:val="32"/>
          <w:szCs w:val="32"/>
        </w:rPr>
        <w:t>企业协会、南宁市科学技术情报研究所、</w:t>
      </w:r>
      <w:r>
        <w:rPr>
          <w:rFonts w:ascii="仿宋_GB2312" w:eastAsia="仿宋_GB2312" w:hAnsi="宋体" w:hint="eastAsia"/>
          <w:sz w:val="32"/>
          <w:szCs w:val="32"/>
        </w:rPr>
        <w:t>柳州</w:t>
      </w:r>
      <w:r>
        <w:rPr>
          <w:rFonts w:ascii="仿宋_GB2312" w:eastAsia="仿宋_GB2312" w:hAnsi="宋体"/>
          <w:sz w:val="32"/>
          <w:szCs w:val="32"/>
        </w:rPr>
        <w:t>市科学技术情报研究所</w:t>
      </w:r>
      <w:r>
        <w:rPr>
          <w:rFonts w:ascii="仿宋_GB2312" w:eastAsia="仿宋_GB2312" w:hAnsi="宋体" w:hint="eastAsia"/>
          <w:sz w:val="32"/>
          <w:szCs w:val="32"/>
        </w:rPr>
        <w:t>、桂林</w:t>
      </w:r>
      <w:r>
        <w:rPr>
          <w:rFonts w:ascii="仿宋_GB2312" w:eastAsia="仿宋_GB2312" w:hAnsi="宋体"/>
          <w:sz w:val="32"/>
          <w:szCs w:val="32"/>
        </w:rPr>
        <w:t>市科学技术情报研究所</w:t>
      </w:r>
      <w:r>
        <w:rPr>
          <w:rFonts w:ascii="仿宋_GB2312" w:eastAsia="仿宋_GB2312" w:hAnsi="宋体" w:hint="eastAsia"/>
          <w:sz w:val="32"/>
          <w:szCs w:val="32"/>
        </w:rPr>
        <w:t>、北海</w:t>
      </w:r>
      <w:r>
        <w:rPr>
          <w:rFonts w:ascii="仿宋_GB2312" w:eastAsia="仿宋_GB2312" w:hAnsi="宋体"/>
          <w:sz w:val="32"/>
          <w:szCs w:val="32"/>
        </w:rPr>
        <w:t>市</w:t>
      </w:r>
      <w:r>
        <w:rPr>
          <w:rFonts w:ascii="仿宋_GB2312" w:eastAsia="仿宋_GB2312" w:hAnsi="宋体" w:hint="eastAsia"/>
          <w:sz w:val="32"/>
          <w:szCs w:val="32"/>
        </w:rPr>
        <w:t>科技信息</w:t>
      </w:r>
      <w:r>
        <w:rPr>
          <w:rFonts w:ascii="仿宋_GB2312" w:eastAsia="仿宋_GB2312" w:hAnsi="宋体"/>
          <w:sz w:val="32"/>
          <w:szCs w:val="32"/>
        </w:rPr>
        <w:t>研究所</w:t>
      </w:r>
      <w:r>
        <w:rPr>
          <w:rFonts w:ascii="仿宋_GB2312" w:eastAsia="仿宋_GB2312" w:hAnsi="宋体" w:hint="eastAsia"/>
          <w:sz w:val="32"/>
          <w:szCs w:val="32"/>
        </w:rPr>
        <w:t>（北海市</w:t>
      </w:r>
      <w:r>
        <w:rPr>
          <w:rFonts w:ascii="仿宋_GB2312" w:eastAsia="仿宋_GB2312" w:hAnsi="宋体"/>
          <w:sz w:val="32"/>
          <w:szCs w:val="32"/>
        </w:rPr>
        <w:t>生产力促进中心</w:t>
      </w:r>
      <w:r>
        <w:rPr>
          <w:rFonts w:ascii="仿宋_GB2312" w:eastAsia="仿宋_GB2312" w:hAnsi="宋体" w:hint="eastAsia"/>
          <w:sz w:val="32"/>
          <w:szCs w:val="32"/>
        </w:rPr>
        <w:t>）、防城港</w:t>
      </w:r>
      <w:r>
        <w:rPr>
          <w:rFonts w:ascii="仿宋_GB2312" w:eastAsia="仿宋_GB2312" w:hAnsi="宋体"/>
          <w:sz w:val="32"/>
          <w:szCs w:val="32"/>
        </w:rPr>
        <w:t>市科学技术情报研究所</w:t>
      </w:r>
      <w:r>
        <w:rPr>
          <w:rFonts w:ascii="仿宋_GB2312" w:eastAsia="仿宋_GB2312" w:hAnsi="宋体" w:hint="eastAsia"/>
          <w:sz w:val="32"/>
          <w:szCs w:val="32"/>
        </w:rPr>
        <w:t>、</w:t>
      </w:r>
      <w:r>
        <w:rPr>
          <w:rFonts w:ascii="仿宋_GB2312" w:eastAsia="仿宋_GB2312" w:hAnsi="宋体"/>
          <w:sz w:val="32"/>
          <w:szCs w:val="32"/>
        </w:rPr>
        <w:t>广西标准化协会</w:t>
      </w:r>
      <w:r>
        <w:rPr>
          <w:rFonts w:ascii="仿宋_GB2312" w:eastAsia="仿宋_GB2312" w:hAnsi="宋体" w:hint="eastAsia"/>
          <w:sz w:val="32"/>
          <w:szCs w:val="32"/>
          <w:lang w:val="zh-CN"/>
        </w:rPr>
        <w:t>共同起草的团体标准《</w:t>
      </w:r>
      <w:r>
        <w:rPr>
          <w:rFonts w:ascii="仿宋_GB2312" w:eastAsia="仿宋_GB2312" w:hAnsi="宋体" w:hint="eastAsia"/>
          <w:sz w:val="32"/>
          <w:szCs w:val="32"/>
        </w:rPr>
        <w:t>瞪羚企业培育服务规范</w:t>
      </w:r>
      <w:r>
        <w:rPr>
          <w:rFonts w:ascii="仿宋_GB2312" w:eastAsia="仿宋_GB2312" w:hAnsi="宋体" w:hint="eastAsia"/>
          <w:sz w:val="32"/>
          <w:szCs w:val="32"/>
          <w:lang w:val="zh-CN"/>
        </w:rPr>
        <w:t>》（项目</w:t>
      </w:r>
      <w:r>
        <w:rPr>
          <w:rFonts w:ascii="仿宋_GB2312" w:eastAsia="仿宋_GB2312" w:hAnsi="宋体"/>
          <w:sz w:val="32"/>
          <w:szCs w:val="32"/>
          <w:lang w:val="zh-CN"/>
        </w:rPr>
        <w:t>编号：</w:t>
      </w:r>
      <w:r>
        <w:rPr>
          <w:rFonts w:ascii="仿宋_GB2312" w:eastAsia="仿宋_GB2312" w:hAnsi="宋体" w:hint="eastAsia"/>
          <w:sz w:val="32"/>
          <w:szCs w:val="32"/>
          <w:lang w:val="zh-CN"/>
        </w:rPr>
        <w:t>2021</w:t>
      </w:r>
      <w:r>
        <w:rPr>
          <w:rFonts w:ascii="仿宋_GB2312" w:eastAsia="仿宋_GB2312" w:hAnsi="宋体"/>
          <w:sz w:val="32"/>
          <w:szCs w:val="32"/>
          <w:lang w:val="zh-CN"/>
        </w:rPr>
        <w:t>-4004</w:t>
      </w:r>
      <w:r>
        <w:rPr>
          <w:rFonts w:ascii="仿宋_GB2312" w:eastAsia="仿宋_GB2312" w:hAnsi="宋体" w:hint="eastAsia"/>
          <w:sz w:val="32"/>
          <w:szCs w:val="32"/>
          <w:lang w:val="zh-CN"/>
        </w:rPr>
        <w:t>）。</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bCs/>
          <w:sz w:val="32"/>
          <w:szCs w:val="32"/>
        </w:rPr>
        <w:t>、</w:t>
      </w:r>
      <w:r>
        <w:rPr>
          <w:rFonts w:ascii="黑体" w:eastAsia="黑体" w:hAnsi="黑体" w:cs="黑体" w:hint="eastAsia"/>
          <w:bCs/>
          <w:sz w:val="32"/>
          <w:szCs w:val="32"/>
        </w:rPr>
        <w:t>项目背景及目的意义</w:t>
      </w:r>
    </w:p>
    <w:p w:rsidR="0030026B" w:rsidRDefault="009129C8">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bCs/>
          <w:sz w:val="32"/>
          <w:szCs w:val="32"/>
        </w:rPr>
        <w:t>“瞪羚企业”是指创业后跨过死亡谷以科技创新或商业模式创新为支撑进入高成长期的中小企业。认定范围主要是产业领域符合国家和省战略新兴产业发展方向，涵盖新兴工业、新一代信息技术(含大数据、物联网与云计算、高端软件、互联网)、生物健康、人工智能、金融科技、节能环保、消费升级等领域。</w:t>
      </w:r>
    </w:p>
    <w:p w:rsidR="0030026B" w:rsidRDefault="009129C8">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2019年7月15日，李克强总理主持召开经济形势专家和企业座谈会时指出，“创造有利条件，催生更多‘独角兽企业’、‘瞪羚企业’、新领军者企业，加快新动能培育和新旧动能转换”，进一步明确了培育独角兽企业和瞪羚企业的重要意义。2020年6</w:t>
      </w:r>
      <w:r>
        <w:rPr>
          <w:rFonts w:ascii="仿宋_GB2312" w:eastAsia="仿宋_GB2312" w:hAnsi="宋体" w:hint="eastAsia"/>
          <w:sz w:val="32"/>
          <w:szCs w:val="32"/>
        </w:rPr>
        <w:lastRenderedPageBreak/>
        <w:t>月，自治区党委办公厅、自治区人民政府办公厅印发《关于进一步深化科技体制改革推动科技创新促进广西高质量发展的若干措施》，提出加大对独角兽企业、瞪羚企业、高新技术企业的培育力度，遴选扶持更多科技型企业入库培育。着力减轻科技型企业税费负担。积极引导科技人员服务企业。助力瞪羚企业、独角兽企业创新发展。2020年10月，广西壮族自治区科学技术厅发布《加快培育瞪羚企业创新发展若干措施》，建立了“科技型中小企业—高新技术企业—瞪羚企业”的梯次培育体系，通过政策激励、平台构建、项目支持等方式，推动了瞪羚企业快速发展，并发展成为广西创新创业的主力军和经济增长的新动能。</w:t>
      </w:r>
    </w:p>
    <w:p w:rsidR="0030026B" w:rsidRDefault="009129C8">
      <w:pPr>
        <w:adjustRightInd w:val="0"/>
        <w:snapToGrid w:val="0"/>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瞪羚企业作为创新主力军，能够为区内创新型企业集聚的发展提供适宜的生态环境，使企业在相互竞争的同时，也能够充分利用平台企业的资源、渠道的整合，减少高成长性科技企业成长的风险。一个地区的瞪羚企业数量越多，表明这一地区的创新活力越强，发展速度越快。从2015年开始，我国的瞪羚企业数量呈现稳步上升的趋势，目前，全国瞪羚企业数量已达25957家。已认定瞪羚企业覆盖全国32个省市、163个高新区、88个行业大类和199个热门领域。2019年国家高新区瞪羚企业2968家。目前，广西共有瞪羚企业107家，进入瞪羚企业培育库188家。这些企业广泛分布于战略性新兴产业领域。广西瞪羚企业研发费用投入10.34亿元，共有科研人员5399人，占人员工总数的23.17%。累计拥有授权专利2858件，其中授权发明专利778件，分别占全区高新技术企业的8.06%和8.02%。高新技术产品收入186亿元，2018-2020年高新技术产品收入复合增长率达12.46%。</w:t>
      </w:r>
      <w:r>
        <w:rPr>
          <w:rFonts w:ascii="仿宋_GB2312" w:eastAsia="仿宋_GB2312" w:hAnsi="宋体" w:hint="eastAsia"/>
          <w:bCs/>
          <w:sz w:val="32"/>
          <w:szCs w:val="32"/>
        </w:rPr>
        <w:lastRenderedPageBreak/>
        <w:t>为了实现高新技术产业梯队发展，需要有更大规模的高速成长的瞪羚企业集群作为后备。通过对瞪羚企业的扶持和培养，一方面可以进一步深化“双创”，另一方面可以使得其中产生更多的独角兽企业。</w:t>
      </w:r>
    </w:p>
    <w:p w:rsidR="0030026B" w:rsidRDefault="009129C8">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本标准的制定与实施，以标准为着力点，规范瞪羚企业培育基本要求，服务程序、服务内容、服务评价与改进的要求，以标准化与规范化更好地指导瞪羚企业培育的服务工作，有助于加快培育广西瞪羚企业，推动瞪羚企业快速发展，提升创新能力和转换经济增长动力，发展成为我区创新创业的主力军和经济增长的新动能。</w:t>
      </w:r>
    </w:p>
    <w:p w:rsidR="0030026B" w:rsidRDefault="009129C8">
      <w:pPr>
        <w:adjustRightInd w:val="0"/>
        <w:snapToGrid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bCs/>
          <w:sz w:val="32"/>
          <w:szCs w:val="32"/>
        </w:rPr>
        <w:t>、</w:t>
      </w:r>
      <w:r>
        <w:rPr>
          <w:rFonts w:ascii="黑体" w:eastAsia="黑体" w:hAnsi="黑体" w:cs="黑体" w:hint="eastAsia"/>
          <w:bCs/>
          <w:sz w:val="32"/>
          <w:szCs w:val="32"/>
        </w:rPr>
        <w:t>标准编制过程</w:t>
      </w:r>
    </w:p>
    <w:p w:rsidR="0030026B" w:rsidRDefault="009129C8" w:rsidP="00D73C75">
      <w:pPr>
        <w:adjustRightInd w:val="0"/>
        <w:snapToGrid w:val="0"/>
        <w:spacing w:beforeLines="50" w:afterLines="50" w:line="560" w:lineRule="exact"/>
        <w:ind w:firstLineChars="200" w:firstLine="643"/>
        <w:rPr>
          <w:rFonts w:ascii="楷体" w:eastAsia="楷体" w:hAnsi="楷体" w:cs="黑体"/>
          <w:bCs/>
          <w:sz w:val="32"/>
          <w:szCs w:val="32"/>
        </w:rPr>
      </w:pPr>
      <w:r>
        <w:rPr>
          <w:rFonts w:ascii="楷体" w:eastAsia="楷体" w:hAnsi="楷体" w:cs="仿宋_GB2312" w:hint="eastAsia"/>
          <w:b/>
          <w:sz w:val="32"/>
          <w:szCs w:val="32"/>
        </w:rPr>
        <w:t>（一）成立标准编制工作组</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Pr>
          <w:rFonts w:ascii="仿宋_GB2312" w:eastAsia="仿宋_GB2312" w:hAnsi="宋体" w:hint="eastAsia"/>
          <w:sz w:val="32"/>
          <w:szCs w:val="32"/>
          <w:lang w:val="zh-CN"/>
        </w:rPr>
        <w:t>瞪羚企业培育服务规范</w:t>
      </w:r>
      <w:r>
        <w:rPr>
          <w:rFonts w:ascii="仿宋_GB2312" w:eastAsia="仿宋_GB2312" w:hAnsi="宋体" w:hint="eastAsia"/>
          <w:sz w:val="32"/>
          <w:szCs w:val="32"/>
        </w:rPr>
        <w:t>》项目任务下达后，由广西壮族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组织成立了标准编制工作组，制定了标准编写方案，明确任务职责，确定工作技术路线，开展标准研制工作，具体标准编制工作由广西壮族</w:t>
      </w:r>
      <w:r>
        <w:rPr>
          <w:rFonts w:ascii="仿宋_GB2312" w:eastAsia="仿宋_GB2312" w:hAnsi="宋体"/>
          <w:sz w:val="32"/>
          <w:szCs w:val="32"/>
        </w:rPr>
        <w:t>自治区科学技术情报研究所（</w:t>
      </w:r>
      <w:r>
        <w:rPr>
          <w:rFonts w:ascii="仿宋_GB2312" w:eastAsia="仿宋_GB2312" w:hAnsi="宋体" w:hint="eastAsia"/>
          <w:sz w:val="32"/>
          <w:szCs w:val="32"/>
        </w:rPr>
        <w:t>广西</w:t>
      </w:r>
      <w:r>
        <w:rPr>
          <w:rFonts w:ascii="仿宋_GB2312" w:eastAsia="仿宋_GB2312" w:hAnsi="宋体"/>
          <w:sz w:val="32"/>
          <w:szCs w:val="32"/>
        </w:rPr>
        <w:t>壮族自治区生产力促进中心）</w:t>
      </w:r>
      <w:r>
        <w:rPr>
          <w:rFonts w:ascii="仿宋_GB2312" w:eastAsia="仿宋_GB2312" w:hAnsi="宋体" w:hint="eastAsia"/>
          <w:sz w:val="32"/>
          <w:szCs w:val="32"/>
        </w:rPr>
        <w:t>、</w:t>
      </w:r>
      <w:r>
        <w:rPr>
          <w:rFonts w:ascii="仿宋_GB2312" w:eastAsia="仿宋_GB2312" w:hAnsi="宋体"/>
          <w:sz w:val="32"/>
          <w:szCs w:val="32"/>
        </w:rPr>
        <w:t>广西</w:t>
      </w:r>
      <w:r>
        <w:rPr>
          <w:rFonts w:ascii="仿宋_GB2312" w:eastAsia="仿宋_GB2312" w:hAnsi="宋体" w:hint="eastAsia"/>
          <w:sz w:val="32"/>
          <w:szCs w:val="32"/>
        </w:rPr>
        <w:t>高新技术</w:t>
      </w:r>
      <w:r>
        <w:rPr>
          <w:rFonts w:ascii="仿宋_GB2312" w:eastAsia="仿宋_GB2312" w:hAnsi="宋体"/>
          <w:sz w:val="32"/>
          <w:szCs w:val="32"/>
        </w:rPr>
        <w:t>企业协会、南宁市科学技术情报研究所、</w:t>
      </w:r>
      <w:r>
        <w:rPr>
          <w:rFonts w:ascii="仿宋_GB2312" w:eastAsia="仿宋_GB2312" w:hAnsi="宋体" w:hint="eastAsia"/>
          <w:sz w:val="32"/>
          <w:szCs w:val="32"/>
        </w:rPr>
        <w:t>柳州</w:t>
      </w:r>
      <w:r>
        <w:rPr>
          <w:rFonts w:ascii="仿宋_GB2312" w:eastAsia="仿宋_GB2312" w:hAnsi="宋体"/>
          <w:sz w:val="32"/>
          <w:szCs w:val="32"/>
        </w:rPr>
        <w:t>市科学技术情报研究所</w:t>
      </w:r>
      <w:r>
        <w:rPr>
          <w:rFonts w:ascii="仿宋_GB2312" w:eastAsia="仿宋_GB2312" w:hAnsi="宋体" w:hint="eastAsia"/>
          <w:sz w:val="32"/>
          <w:szCs w:val="32"/>
        </w:rPr>
        <w:t>、桂林</w:t>
      </w:r>
      <w:r>
        <w:rPr>
          <w:rFonts w:ascii="仿宋_GB2312" w:eastAsia="仿宋_GB2312" w:hAnsi="宋体"/>
          <w:sz w:val="32"/>
          <w:szCs w:val="32"/>
        </w:rPr>
        <w:t>市科学技术情报研究所</w:t>
      </w:r>
      <w:r>
        <w:rPr>
          <w:rFonts w:ascii="仿宋_GB2312" w:eastAsia="仿宋_GB2312" w:hAnsi="宋体" w:hint="eastAsia"/>
          <w:sz w:val="32"/>
          <w:szCs w:val="32"/>
        </w:rPr>
        <w:t>、北海</w:t>
      </w:r>
      <w:r>
        <w:rPr>
          <w:rFonts w:ascii="仿宋_GB2312" w:eastAsia="仿宋_GB2312" w:hAnsi="宋体"/>
          <w:sz w:val="32"/>
          <w:szCs w:val="32"/>
        </w:rPr>
        <w:t>市</w:t>
      </w:r>
      <w:r>
        <w:rPr>
          <w:rFonts w:ascii="仿宋_GB2312" w:eastAsia="仿宋_GB2312" w:hAnsi="宋体" w:hint="eastAsia"/>
          <w:sz w:val="32"/>
          <w:szCs w:val="32"/>
        </w:rPr>
        <w:t>科技信息</w:t>
      </w:r>
      <w:r>
        <w:rPr>
          <w:rFonts w:ascii="仿宋_GB2312" w:eastAsia="仿宋_GB2312" w:hAnsi="宋体"/>
          <w:sz w:val="32"/>
          <w:szCs w:val="32"/>
        </w:rPr>
        <w:t>研究所</w:t>
      </w:r>
      <w:r>
        <w:rPr>
          <w:rFonts w:ascii="仿宋_GB2312" w:eastAsia="仿宋_GB2312" w:hAnsi="宋体" w:hint="eastAsia"/>
          <w:sz w:val="32"/>
          <w:szCs w:val="32"/>
        </w:rPr>
        <w:t>（北海市</w:t>
      </w:r>
      <w:r>
        <w:rPr>
          <w:rFonts w:ascii="仿宋_GB2312" w:eastAsia="仿宋_GB2312" w:hAnsi="宋体"/>
          <w:sz w:val="32"/>
          <w:szCs w:val="32"/>
        </w:rPr>
        <w:t>生产力促进中心</w:t>
      </w:r>
      <w:r>
        <w:rPr>
          <w:rFonts w:ascii="仿宋_GB2312" w:eastAsia="仿宋_GB2312" w:hAnsi="宋体" w:hint="eastAsia"/>
          <w:sz w:val="32"/>
          <w:szCs w:val="32"/>
        </w:rPr>
        <w:t>）、防城港</w:t>
      </w:r>
      <w:r>
        <w:rPr>
          <w:rFonts w:ascii="仿宋_GB2312" w:eastAsia="仿宋_GB2312" w:hAnsi="宋体"/>
          <w:sz w:val="32"/>
          <w:szCs w:val="32"/>
        </w:rPr>
        <w:t>市科学技术情报研究所</w:t>
      </w:r>
      <w:r>
        <w:rPr>
          <w:rFonts w:ascii="仿宋_GB2312" w:eastAsia="仿宋_GB2312" w:hAnsi="宋体" w:hint="eastAsia"/>
          <w:sz w:val="32"/>
          <w:szCs w:val="32"/>
        </w:rPr>
        <w:t>、</w:t>
      </w:r>
      <w:r>
        <w:rPr>
          <w:rFonts w:ascii="仿宋_GB2312" w:eastAsia="仿宋_GB2312" w:hAnsi="宋体"/>
          <w:sz w:val="32"/>
          <w:szCs w:val="32"/>
        </w:rPr>
        <w:t>广西标准化协会</w:t>
      </w:r>
      <w:r>
        <w:rPr>
          <w:rFonts w:ascii="仿宋_GB2312" w:eastAsia="仿宋_GB2312" w:hAnsi="宋体" w:hint="eastAsia"/>
          <w:sz w:val="32"/>
          <w:szCs w:val="32"/>
        </w:rPr>
        <w:t>相关人员配合。</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标准编制工作组收集了国内有关瞪羚企业培育服务的相关</w:t>
      </w:r>
      <w:r>
        <w:rPr>
          <w:rFonts w:ascii="仿宋_GB2312" w:eastAsia="仿宋_GB2312" w:hAnsi="宋体" w:hint="eastAsia"/>
          <w:sz w:val="32"/>
          <w:szCs w:val="32"/>
        </w:rPr>
        <w:lastRenderedPageBreak/>
        <w:t>文献资料。主要有：</w:t>
      </w:r>
    </w:p>
    <w:p w:rsidR="0030026B" w:rsidRDefault="009129C8" w:rsidP="00D73C75">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《自治区科技厅关于开展2021年广西瞪羚企业认定申报工作的通知》（桂科高字〔2021〕217号）</w:t>
      </w:r>
    </w:p>
    <w:p w:rsidR="0030026B" w:rsidRDefault="009129C8" w:rsidP="00D73C75">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《广西壮族自治区科学技术厅印发加快培育瞪羚企业创新发展若干措施的通知》（桂科高字〔2020〕174号）</w:t>
      </w:r>
    </w:p>
    <w:p w:rsidR="0030026B" w:rsidRDefault="009129C8" w:rsidP="00D73C75">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《高新技术企业认定管理办法》（国科发火〔2016〕32号)</w:t>
      </w:r>
    </w:p>
    <w:p w:rsidR="0030026B" w:rsidRDefault="009129C8" w:rsidP="00D73C75">
      <w:pPr>
        <w:adjustRightInd w:val="0"/>
        <w:snapToGrid w:val="0"/>
        <w:spacing w:beforeLines="50" w:afterLines="5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《高新技术企业认定管理工作指引》(国科发火〔2016〕195号)</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标准编制工作组在对收集的资料进行整理研究之后，召开了标准编制会议，对标准的整体框架结构进行了研究，并对标准的关键性内容进行了初步探讨。经过讨论</w:t>
      </w:r>
      <w:r>
        <w:rPr>
          <w:rFonts w:ascii="仿宋_GB2312" w:eastAsia="仿宋_GB2312" w:hAnsi="宋体"/>
          <w:sz w:val="32"/>
          <w:szCs w:val="32"/>
        </w:rPr>
        <w:t>、</w:t>
      </w:r>
      <w:r>
        <w:rPr>
          <w:rFonts w:ascii="仿宋_GB2312" w:eastAsia="仿宋_GB2312" w:hAnsi="宋体" w:hint="eastAsia"/>
          <w:sz w:val="32"/>
          <w:szCs w:val="32"/>
        </w:rPr>
        <w:t>研究，标准的主体内容确定为术语</w:t>
      </w:r>
      <w:r>
        <w:rPr>
          <w:rFonts w:ascii="仿宋_GB2312" w:eastAsia="仿宋_GB2312" w:hAnsi="宋体"/>
          <w:sz w:val="32"/>
          <w:szCs w:val="32"/>
        </w:rPr>
        <w:t>与定义、</w:t>
      </w:r>
      <w:r>
        <w:rPr>
          <w:rFonts w:ascii="仿宋_GB2312" w:eastAsia="仿宋_GB2312" w:hAnsi="宋体" w:hint="eastAsia"/>
          <w:sz w:val="32"/>
          <w:szCs w:val="32"/>
        </w:rPr>
        <w:t>基本要求、服务流程、服务内容、服务评价和改进。</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（四）调研、形成文本草案、征求意见稿</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2021年10月，标准起草工作小组进行了广泛的调研工作，查阅了大量的国内外文献资料，对瞪羚企业培育</w:t>
      </w:r>
      <w:r>
        <w:rPr>
          <w:rFonts w:ascii="仿宋_GB2312" w:eastAsia="仿宋_GB2312" w:hAnsi="宋体"/>
          <w:sz w:val="32"/>
          <w:szCs w:val="32"/>
        </w:rPr>
        <w:t>的相关资料</w:t>
      </w:r>
      <w:r>
        <w:rPr>
          <w:rFonts w:ascii="仿宋_GB2312" w:eastAsia="仿宋_GB2312" w:hAnsi="宋体" w:hint="eastAsia"/>
          <w:sz w:val="32"/>
          <w:szCs w:val="32"/>
        </w:rPr>
        <w:t>进行系统总结。经编制组反复讨论，形成了标准的基本构架，对主要内容进行了讨论并对项目的工作进行了部署和安排。</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w:t>
      </w:r>
      <w:r>
        <w:rPr>
          <w:rFonts w:ascii="仿宋_GB2312" w:eastAsia="仿宋_GB2312" w:hAnsi="宋体"/>
          <w:sz w:val="32"/>
          <w:szCs w:val="32"/>
        </w:rPr>
        <w:t>11</w:t>
      </w:r>
      <w:r>
        <w:rPr>
          <w:rFonts w:ascii="仿宋_GB2312" w:eastAsia="仿宋_GB2312" w:hAnsi="宋体" w:hint="eastAsia"/>
          <w:sz w:val="32"/>
          <w:szCs w:val="32"/>
        </w:rPr>
        <w:t>月～1</w:t>
      </w:r>
      <w:r>
        <w:rPr>
          <w:rFonts w:ascii="仿宋_GB2312" w:eastAsia="仿宋_GB2312" w:hAnsi="宋体"/>
          <w:sz w:val="32"/>
          <w:szCs w:val="32"/>
        </w:rPr>
        <w:t>2</w:t>
      </w:r>
      <w:r>
        <w:rPr>
          <w:rFonts w:ascii="仿宋_GB2312" w:eastAsia="仿宋_GB2312" w:hAnsi="宋体" w:hint="eastAsia"/>
          <w:sz w:val="32"/>
          <w:szCs w:val="32"/>
        </w:rPr>
        <w:t>月，在前期工作的基础之上，通过理清逻辑脉络，整合已有的参考资料中有关瞪羚企业培育的资料，并结合区内瞪羚企业培育实际要求的基础上，按照简化、统一等原则</w:t>
      </w:r>
      <w:r>
        <w:rPr>
          <w:rFonts w:ascii="仿宋_GB2312" w:eastAsia="仿宋_GB2312" w:hAnsi="宋体" w:hint="eastAsia"/>
          <w:sz w:val="32"/>
          <w:szCs w:val="32"/>
        </w:rPr>
        <w:lastRenderedPageBreak/>
        <w:t>编制完成团体标准《瞪羚企业培育服务规范》（草案）。</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202</w:t>
      </w:r>
      <w:r w:rsidR="00722B65">
        <w:rPr>
          <w:rFonts w:ascii="仿宋_GB2312" w:eastAsia="仿宋_GB2312" w:hAnsi="宋体" w:hint="eastAsia"/>
          <w:sz w:val="32"/>
          <w:szCs w:val="32"/>
        </w:rPr>
        <w:t>2</w:t>
      </w:r>
      <w:r>
        <w:rPr>
          <w:rFonts w:ascii="仿宋_GB2312" w:eastAsia="仿宋_GB2312" w:hAnsi="宋体" w:hint="eastAsia"/>
          <w:sz w:val="32"/>
          <w:szCs w:val="32"/>
        </w:rPr>
        <w:t>年1月</w:t>
      </w:r>
      <w:r w:rsidR="00722B65">
        <w:rPr>
          <w:rFonts w:ascii="宋体" w:hAnsi="宋体" w:hint="eastAsia"/>
          <w:sz w:val="32"/>
          <w:szCs w:val="32"/>
        </w:rPr>
        <w:t>～</w:t>
      </w:r>
      <w:r w:rsidR="00D73C75">
        <w:rPr>
          <w:rFonts w:ascii="宋体" w:hAnsi="宋体" w:hint="eastAsia"/>
          <w:sz w:val="32"/>
          <w:szCs w:val="32"/>
        </w:rPr>
        <w:t>2</w:t>
      </w:r>
      <w:r w:rsidR="00722B65">
        <w:rPr>
          <w:rFonts w:ascii="宋体" w:hAnsi="宋体" w:hint="eastAsia"/>
          <w:sz w:val="32"/>
          <w:szCs w:val="32"/>
        </w:rPr>
        <w:t>月</w:t>
      </w:r>
      <w:r>
        <w:rPr>
          <w:rFonts w:ascii="仿宋_GB2312" w:eastAsia="仿宋_GB2312" w:hAnsi="宋体" w:hint="eastAsia"/>
          <w:sz w:val="32"/>
          <w:szCs w:val="32"/>
        </w:rPr>
        <w:t>，深入瞪羚企业培育机构</w:t>
      </w:r>
      <w:r>
        <w:rPr>
          <w:rFonts w:ascii="仿宋_GB2312" w:eastAsia="仿宋_GB2312" w:hAnsi="宋体" w:hint="eastAsia"/>
          <w:sz w:val="32"/>
          <w:szCs w:val="32"/>
          <w:lang w:val="zh-CN"/>
        </w:rPr>
        <w:t>，针对</w:t>
      </w:r>
      <w:r>
        <w:rPr>
          <w:rFonts w:ascii="仿宋_GB2312" w:eastAsia="仿宋_GB2312" w:hAnsi="宋体" w:hint="eastAsia"/>
          <w:sz w:val="32"/>
          <w:szCs w:val="32"/>
        </w:rPr>
        <w:t>瞪羚企业培育流程进行分组实地调研。标准编制工作组多次召开会议，对标准草案进行了反复修改和研究讨论，最终形成了团体标准《瞪羚企业培育服务规范》（征求意见稿）和《瞪羚企业培育服务规范》（征求意见稿）编制说明。</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bookmarkStart w:id="0" w:name="_Toc526940083"/>
      <w:r>
        <w:rPr>
          <w:rFonts w:ascii="黑体" w:eastAsia="黑体" w:hAnsi="黑体" w:cs="黑体" w:hint="eastAsia"/>
          <w:bCs/>
          <w:sz w:val="32"/>
          <w:szCs w:val="32"/>
        </w:rPr>
        <w:t>四</w:t>
      </w:r>
      <w:r>
        <w:rPr>
          <w:rFonts w:ascii="黑体" w:eastAsia="黑体" w:hAnsi="黑体" w:cs="黑体"/>
          <w:bCs/>
          <w:sz w:val="32"/>
          <w:szCs w:val="32"/>
        </w:rPr>
        <w:t>、</w:t>
      </w:r>
      <w:r>
        <w:rPr>
          <w:rFonts w:ascii="黑体" w:eastAsia="黑体" w:hAnsi="黑体" w:cs="黑体" w:hint="eastAsia"/>
          <w:bCs/>
          <w:sz w:val="32"/>
          <w:szCs w:val="32"/>
        </w:rPr>
        <w:t>标准制定原则</w:t>
      </w:r>
      <w:bookmarkEnd w:id="0"/>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（一）实用性原则</w:t>
      </w:r>
    </w:p>
    <w:p w:rsidR="0030026B" w:rsidRDefault="009129C8">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本文件是在充分收集相关资料和文献，分析区内</w:t>
      </w:r>
      <w:r>
        <w:rPr>
          <w:rFonts w:ascii="仿宋_GB2312" w:eastAsia="仿宋_GB2312" w:hAnsi="宋体" w:hint="eastAsia"/>
          <w:sz w:val="32"/>
          <w:szCs w:val="32"/>
        </w:rPr>
        <w:t>瞪羚企业培育服务</w:t>
      </w:r>
      <w:r>
        <w:rPr>
          <w:rFonts w:ascii="仿宋_GB2312" w:eastAsia="仿宋_GB2312" w:hAnsi="宋体" w:hint="eastAsia"/>
          <w:sz w:val="32"/>
          <w:szCs w:val="32"/>
          <w:lang w:val="zh-CN"/>
        </w:rPr>
        <w:t>现状，调研</w:t>
      </w:r>
      <w:r>
        <w:rPr>
          <w:rFonts w:ascii="仿宋_GB2312" w:eastAsia="仿宋_GB2312" w:hAnsi="宋体"/>
          <w:sz w:val="32"/>
          <w:szCs w:val="32"/>
          <w:lang w:val="zh-CN"/>
        </w:rPr>
        <w:t>区内瞪羚企业培育服务情况，</w:t>
      </w:r>
      <w:r>
        <w:rPr>
          <w:rFonts w:ascii="仿宋_GB2312" w:eastAsia="仿宋_GB2312" w:hAnsi="宋体" w:hint="eastAsia"/>
          <w:sz w:val="32"/>
          <w:szCs w:val="32"/>
          <w:lang w:val="zh-CN"/>
        </w:rPr>
        <w:t>在现有国家、行业标准相关</w:t>
      </w:r>
      <w:r>
        <w:rPr>
          <w:rFonts w:ascii="仿宋_GB2312" w:eastAsia="仿宋_GB2312" w:hAnsi="宋体" w:hint="eastAsia"/>
          <w:sz w:val="32"/>
          <w:szCs w:val="32"/>
        </w:rPr>
        <w:t>瞪羚企业培育</w:t>
      </w:r>
      <w:r>
        <w:rPr>
          <w:rFonts w:ascii="仿宋_GB2312" w:eastAsia="仿宋_GB2312" w:hAnsi="宋体" w:hint="eastAsia"/>
          <w:sz w:val="32"/>
          <w:szCs w:val="32"/>
          <w:lang w:val="zh-CN"/>
        </w:rPr>
        <w:t>的基础上，结合多年经验而总结起草的。符合当前</w:t>
      </w:r>
      <w:r>
        <w:rPr>
          <w:rFonts w:ascii="仿宋_GB2312" w:eastAsia="仿宋_GB2312" w:hAnsi="宋体" w:hint="eastAsia"/>
          <w:sz w:val="32"/>
          <w:szCs w:val="32"/>
        </w:rPr>
        <w:t>瞪羚企业培育服务</w:t>
      </w:r>
      <w:r>
        <w:rPr>
          <w:rFonts w:ascii="仿宋_GB2312" w:eastAsia="仿宋_GB2312" w:hAnsi="宋体" w:hint="eastAsia"/>
          <w:sz w:val="32"/>
          <w:szCs w:val="32"/>
          <w:lang w:val="zh-CN"/>
        </w:rPr>
        <w:t>的要求，有利于行业的长远发展，具有较强的实用性和可操作性。</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（二）协调性原则</w:t>
      </w:r>
    </w:p>
    <w:p w:rsidR="0030026B" w:rsidRDefault="009129C8">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本文件编写过程中注意了</w:t>
      </w:r>
      <w:r>
        <w:rPr>
          <w:rFonts w:ascii="仿宋_GB2312" w:eastAsia="仿宋_GB2312" w:hAnsi="宋体" w:hint="eastAsia"/>
          <w:sz w:val="32"/>
          <w:szCs w:val="32"/>
        </w:rPr>
        <w:t>瞪羚企业培育服务</w:t>
      </w:r>
      <w:r>
        <w:rPr>
          <w:rFonts w:ascii="仿宋_GB2312" w:eastAsia="仿宋_GB2312" w:hAnsi="宋体" w:hint="eastAsia"/>
          <w:sz w:val="32"/>
          <w:szCs w:val="32"/>
          <w:lang w:val="zh-CN"/>
        </w:rPr>
        <w:t>与相关法律法规的协调问题，在内容上与现行法律法规、标准协调一致。</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（三）规范性原则</w:t>
      </w:r>
    </w:p>
    <w:p w:rsidR="0030026B" w:rsidRDefault="009129C8">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本文件严格按照GB/T 1.1—2020《标准化工作导则 第1部分：标准的结构和编写》的要求和规定编写本标准的内容，保证标准的编写质量。</w:t>
      </w:r>
    </w:p>
    <w:p w:rsidR="0030026B" w:rsidRDefault="009129C8" w:rsidP="00D73C75">
      <w:pPr>
        <w:adjustRightInd w:val="0"/>
        <w:snapToGrid w:val="0"/>
        <w:spacing w:beforeLines="50" w:afterLines="50"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（四）前瞻性原则</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本文件兼顾当前区内瞪羚企业培育服务</w:t>
      </w:r>
      <w:r>
        <w:rPr>
          <w:rFonts w:ascii="仿宋_GB2312" w:eastAsia="仿宋_GB2312" w:hAnsi="宋体"/>
          <w:sz w:val="32"/>
          <w:szCs w:val="32"/>
        </w:rPr>
        <w:t>情况</w:t>
      </w:r>
      <w:r>
        <w:rPr>
          <w:rFonts w:ascii="仿宋_GB2312" w:eastAsia="仿宋_GB2312" w:hAnsi="宋体" w:hint="eastAsia"/>
          <w:sz w:val="32"/>
          <w:szCs w:val="32"/>
        </w:rPr>
        <w:t>的同时，还考虑</w:t>
      </w:r>
      <w:r>
        <w:rPr>
          <w:rFonts w:ascii="仿宋_GB2312" w:eastAsia="仿宋_GB2312" w:hAnsi="宋体" w:hint="eastAsia"/>
          <w:sz w:val="32"/>
          <w:szCs w:val="32"/>
        </w:rPr>
        <w:lastRenderedPageBreak/>
        <w:t>到了瞪羚企业培育服务发展趋势和需要，提出瞪羚企业培育服务基本要求、服务流程、服务内容、服务评价和改进的</w:t>
      </w:r>
      <w:r>
        <w:rPr>
          <w:rFonts w:ascii="仿宋_GB2312" w:eastAsia="仿宋_GB2312" w:hAnsi="宋体"/>
          <w:sz w:val="32"/>
          <w:szCs w:val="32"/>
        </w:rPr>
        <w:t>要求</w:t>
      </w:r>
      <w:r>
        <w:rPr>
          <w:rFonts w:ascii="仿宋_GB2312" w:eastAsia="仿宋_GB2312" w:hAnsi="宋体" w:hint="eastAsia"/>
          <w:sz w:val="32"/>
          <w:szCs w:val="32"/>
        </w:rPr>
        <w:t>，在标准中体现了个别特色性、前瞻性和先进性条款，作为对瞪羚企业培育服务的指导。</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bCs/>
          <w:sz w:val="32"/>
          <w:szCs w:val="32"/>
        </w:rPr>
        <w:t>、</w:t>
      </w:r>
      <w:r>
        <w:rPr>
          <w:rFonts w:ascii="黑体" w:eastAsia="黑体" w:hAnsi="黑体" w:cs="黑体" w:hint="eastAsia"/>
          <w:bCs/>
          <w:sz w:val="32"/>
          <w:szCs w:val="32"/>
        </w:rPr>
        <w:t>标准主要章节内容及确定依据</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团体标准《瞪羚企业培育服务规范》主要内容包括</w:t>
      </w:r>
      <w:r>
        <w:rPr>
          <w:rFonts w:ascii="仿宋_GB2312" w:eastAsia="仿宋_GB2312" w:hAnsi="宋体" w:hint="eastAsia"/>
          <w:sz w:val="32"/>
          <w:szCs w:val="32"/>
        </w:rPr>
        <w:t>术语和定义、基本要求、服务流程、服务内容、服务评价和改进。</w:t>
      </w:r>
    </w:p>
    <w:p w:rsidR="0030026B" w:rsidRDefault="009129C8" w:rsidP="00D73C75">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术语和定义</w:t>
      </w:r>
    </w:p>
    <w:p w:rsidR="0030026B" w:rsidRDefault="009129C8" w:rsidP="00316721">
      <w:pPr>
        <w:adjustRightInd w:val="0"/>
        <w:snapToGrid w:val="0"/>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主要依据</w:t>
      </w:r>
      <w:r>
        <w:rPr>
          <w:rFonts w:ascii="仿宋_GB2312" w:eastAsia="仿宋_GB2312" w:hAnsi="宋体"/>
          <w:sz w:val="32"/>
          <w:szCs w:val="32"/>
          <w:lang w:val="zh-CN"/>
        </w:rPr>
        <w:t>《</w:t>
      </w:r>
      <w:r>
        <w:rPr>
          <w:rFonts w:ascii="仿宋_GB2312" w:eastAsia="仿宋_GB2312" w:hAnsi="宋体" w:hint="eastAsia"/>
          <w:sz w:val="32"/>
          <w:szCs w:val="32"/>
          <w:lang w:val="zh-CN"/>
        </w:rPr>
        <w:t>自治区科技厅关于开展2021年广西瞪羚企业认定申报工作的通知</w:t>
      </w:r>
      <w:r>
        <w:rPr>
          <w:rFonts w:ascii="仿宋_GB2312" w:eastAsia="仿宋_GB2312" w:hAnsi="宋体"/>
          <w:sz w:val="32"/>
          <w:szCs w:val="32"/>
          <w:lang w:val="zh-CN"/>
        </w:rPr>
        <w:t>》</w:t>
      </w:r>
      <w:r>
        <w:rPr>
          <w:rFonts w:ascii="仿宋_GB2312" w:eastAsia="仿宋_GB2312" w:hAnsi="宋体" w:hint="eastAsia"/>
          <w:sz w:val="32"/>
          <w:szCs w:val="32"/>
          <w:lang w:val="zh-CN"/>
        </w:rPr>
        <w:t>申报对象的</w:t>
      </w:r>
      <w:r>
        <w:rPr>
          <w:rFonts w:ascii="仿宋_GB2312" w:eastAsia="仿宋_GB2312" w:hAnsi="宋体"/>
          <w:sz w:val="32"/>
          <w:szCs w:val="32"/>
          <w:lang w:val="zh-CN"/>
        </w:rPr>
        <w:t>要求，</w:t>
      </w:r>
      <w:r>
        <w:rPr>
          <w:rFonts w:ascii="仿宋_GB2312" w:eastAsia="仿宋_GB2312" w:hAnsi="宋体" w:hint="eastAsia"/>
          <w:sz w:val="32"/>
          <w:szCs w:val="32"/>
          <w:lang w:val="zh-CN"/>
        </w:rPr>
        <w:t>确定了</w:t>
      </w:r>
      <w:r>
        <w:rPr>
          <w:rFonts w:ascii="仿宋_GB2312" w:eastAsia="仿宋_GB2312" w:hAnsi="宋体"/>
          <w:sz w:val="32"/>
          <w:szCs w:val="32"/>
          <w:lang w:val="zh-CN"/>
        </w:rPr>
        <w:t>瞪羚企业</w:t>
      </w:r>
      <w:r>
        <w:rPr>
          <w:rFonts w:ascii="仿宋_GB2312" w:eastAsia="仿宋_GB2312" w:hAnsi="宋体" w:hint="eastAsia"/>
          <w:sz w:val="32"/>
          <w:szCs w:val="32"/>
          <w:lang w:val="zh-CN"/>
        </w:rPr>
        <w:t>的定义；</w:t>
      </w:r>
      <w:r>
        <w:rPr>
          <w:rFonts w:ascii="仿宋_GB2312" w:eastAsia="仿宋_GB2312" w:hAnsi="宋体"/>
          <w:sz w:val="32"/>
          <w:szCs w:val="32"/>
          <w:lang w:val="zh-CN"/>
        </w:rPr>
        <w:t>高新技术企业</w:t>
      </w:r>
      <w:r>
        <w:rPr>
          <w:rFonts w:ascii="仿宋_GB2312" w:eastAsia="仿宋_GB2312" w:hAnsi="宋体" w:hint="eastAsia"/>
          <w:sz w:val="32"/>
          <w:szCs w:val="32"/>
          <w:lang w:val="zh-CN"/>
        </w:rPr>
        <w:t>主要依据</w:t>
      </w:r>
      <w:r>
        <w:rPr>
          <w:rFonts w:ascii="仿宋_GB2312" w:eastAsia="仿宋_GB2312" w:hAnsi="宋体"/>
          <w:sz w:val="32"/>
          <w:szCs w:val="32"/>
          <w:lang w:val="zh-CN"/>
        </w:rPr>
        <w:t>《</w:t>
      </w:r>
      <w:r>
        <w:rPr>
          <w:rFonts w:ascii="仿宋_GB2312" w:eastAsia="仿宋_GB2312" w:hAnsi="宋体" w:hint="eastAsia"/>
          <w:sz w:val="32"/>
          <w:szCs w:val="32"/>
          <w:lang w:val="zh-CN"/>
        </w:rPr>
        <w:t>高新技术</w:t>
      </w:r>
      <w:r>
        <w:rPr>
          <w:rFonts w:ascii="仿宋_GB2312" w:eastAsia="仿宋_GB2312" w:hAnsi="宋体"/>
          <w:sz w:val="32"/>
          <w:szCs w:val="32"/>
          <w:lang w:val="zh-CN"/>
        </w:rPr>
        <w:t>企业认定管理办法》</w:t>
      </w:r>
      <w:r>
        <w:rPr>
          <w:rFonts w:ascii="仿宋_GB2312" w:eastAsia="仿宋_GB2312" w:hAnsi="宋体" w:hint="eastAsia"/>
          <w:sz w:val="32"/>
          <w:szCs w:val="32"/>
          <w:lang w:val="zh-CN"/>
        </w:rPr>
        <w:t>第</w:t>
      </w:r>
      <w:r>
        <w:rPr>
          <w:rFonts w:ascii="仿宋_GB2312" w:eastAsia="仿宋_GB2312" w:hAnsi="宋体"/>
          <w:sz w:val="32"/>
          <w:szCs w:val="32"/>
          <w:lang w:val="zh-CN"/>
        </w:rPr>
        <w:t>二条进行确定；知识产权</w:t>
      </w:r>
      <w:r w:rsidR="00E6364A">
        <w:rPr>
          <w:rFonts w:ascii="仿宋_GB2312" w:eastAsia="仿宋_GB2312" w:hAnsi="宋体" w:hint="eastAsia"/>
          <w:sz w:val="32"/>
          <w:szCs w:val="32"/>
          <w:lang w:val="zh-CN"/>
        </w:rPr>
        <w:t>、研发平台</w:t>
      </w:r>
      <w:r>
        <w:rPr>
          <w:rFonts w:ascii="仿宋_GB2312" w:eastAsia="仿宋_GB2312" w:hAnsi="宋体" w:hint="eastAsia"/>
          <w:sz w:val="32"/>
          <w:szCs w:val="32"/>
          <w:lang w:val="zh-CN"/>
        </w:rPr>
        <w:t>的</w:t>
      </w:r>
      <w:r>
        <w:rPr>
          <w:rFonts w:ascii="仿宋_GB2312" w:eastAsia="仿宋_GB2312" w:hAnsi="宋体"/>
          <w:sz w:val="32"/>
          <w:szCs w:val="32"/>
          <w:lang w:val="zh-CN"/>
        </w:rPr>
        <w:t>定义主要依据</w:t>
      </w:r>
      <w:r w:rsidR="00E6364A" w:rsidRPr="00E6364A">
        <w:rPr>
          <w:rFonts w:ascii="仿宋_GB2312" w:eastAsia="仿宋_GB2312" w:hAnsi="宋体" w:hint="eastAsia"/>
          <w:sz w:val="32"/>
          <w:szCs w:val="32"/>
          <w:lang w:val="zh-CN"/>
        </w:rPr>
        <w:t>《高新技术企业认定管理工作指引》</w:t>
      </w:r>
      <w:r>
        <w:rPr>
          <w:rFonts w:ascii="仿宋_GB2312" w:eastAsia="仿宋_GB2312" w:hAnsi="宋体" w:hint="eastAsia"/>
          <w:sz w:val="32"/>
          <w:szCs w:val="32"/>
          <w:lang w:val="zh-CN"/>
        </w:rPr>
        <w:t>结合瞪羚企业</w:t>
      </w:r>
      <w:r>
        <w:rPr>
          <w:rFonts w:ascii="仿宋_GB2312" w:eastAsia="仿宋_GB2312" w:hAnsi="宋体"/>
          <w:sz w:val="32"/>
          <w:szCs w:val="32"/>
          <w:lang w:val="zh-CN"/>
        </w:rPr>
        <w:t>培育实际</w:t>
      </w:r>
      <w:r>
        <w:rPr>
          <w:rFonts w:ascii="仿宋_GB2312" w:eastAsia="仿宋_GB2312" w:hAnsi="宋体" w:hint="eastAsia"/>
          <w:sz w:val="32"/>
          <w:szCs w:val="32"/>
          <w:lang w:val="zh-CN"/>
        </w:rPr>
        <w:t>得出</w:t>
      </w:r>
      <w:r w:rsidR="00316721">
        <w:rPr>
          <w:rFonts w:ascii="仿宋_GB2312" w:eastAsia="仿宋_GB2312" w:hAnsi="宋体" w:hint="eastAsia"/>
          <w:sz w:val="32"/>
          <w:szCs w:val="32"/>
          <w:lang w:val="zh-CN"/>
        </w:rPr>
        <w:t>。</w:t>
      </w:r>
      <w:r>
        <w:rPr>
          <w:rFonts w:ascii="仿宋_GB2312" w:eastAsia="仿宋_GB2312" w:hAnsi="宋体"/>
          <w:sz w:val="32"/>
          <w:szCs w:val="32"/>
          <w:lang w:val="zh-CN"/>
        </w:rPr>
        <w:t>瞪羚企业培育服务的定义</w:t>
      </w:r>
      <w:r>
        <w:rPr>
          <w:rFonts w:ascii="仿宋_GB2312" w:eastAsia="仿宋_GB2312" w:hAnsi="宋体" w:hint="eastAsia"/>
          <w:sz w:val="32"/>
          <w:szCs w:val="32"/>
          <w:lang w:val="zh-CN"/>
        </w:rPr>
        <w:t>主要依据</w:t>
      </w:r>
      <w:r>
        <w:rPr>
          <w:rFonts w:ascii="仿宋_GB2312" w:eastAsia="仿宋_GB2312" w:hAnsi="宋体"/>
          <w:sz w:val="32"/>
          <w:szCs w:val="32"/>
          <w:lang w:val="zh-CN"/>
        </w:rPr>
        <w:t>瞪羚企业培育服务实际过程确定。</w:t>
      </w:r>
    </w:p>
    <w:p w:rsidR="00316721" w:rsidRPr="00316721" w:rsidRDefault="00316721" w:rsidP="00316721">
      <w:pPr>
        <w:pStyle w:val="a"/>
        <w:numPr>
          <w:ilvl w:val="0"/>
          <w:numId w:val="0"/>
        </w:numPr>
        <w:spacing w:line="560" w:lineRule="exact"/>
        <w:ind w:firstLineChars="200" w:firstLine="640"/>
        <w:rPr>
          <w:rFonts w:ascii="仿宋_GB2312" w:eastAsia="仿宋_GB2312" w:hAnsi="宋体"/>
          <w:kern w:val="2"/>
          <w:sz w:val="32"/>
          <w:szCs w:val="32"/>
          <w:lang w:val="zh-CN"/>
        </w:rPr>
      </w:pPr>
      <w:r w:rsidRPr="00316721">
        <w:rPr>
          <w:rFonts w:ascii="仿宋_GB2312" w:eastAsia="仿宋_GB2312" w:hAnsi="宋体" w:hint="eastAsia"/>
          <w:kern w:val="2"/>
          <w:sz w:val="32"/>
          <w:szCs w:val="32"/>
          <w:lang w:val="zh-CN"/>
        </w:rPr>
        <w:t>瞪羚企业培育服务</w:t>
      </w:r>
      <w:r>
        <w:rPr>
          <w:rFonts w:ascii="仿宋_GB2312" w:eastAsia="仿宋_GB2312" w:hAnsi="宋体" w:hint="eastAsia"/>
          <w:kern w:val="2"/>
          <w:sz w:val="32"/>
          <w:szCs w:val="32"/>
          <w:lang w:val="zh-CN"/>
        </w:rPr>
        <w:t>：</w:t>
      </w:r>
      <w:r w:rsidRPr="00316721">
        <w:rPr>
          <w:rFonts w:ascii="仿宋_GB2312" w:eastAsia="仿宋_GB2312" w:hAnsi="宋体" w:hint="eastAsia"/>
          <w:kern w:val="2"/>
          <w:sz w:val="32"/>
          <w:szCs w:val="32"/>
          <w:lang w:val="zh-CN"/>
        </w:rPr>
        <w:t>根据企业的实际情况，对照广西瞪羚企业申报相关条件和评价标准，服务机构针对企业现有基本条件开展政策宣讲、分析诊断、辅导规范、整理申报等工作，使其成为蹬羚企业的服务过程。</w:t>
      </w:r>
    </w:p>
    <w:p w:rsidR="00316721" w:rsidRDefault="00316721" w:rsidP="00316721">
      <w:pPr>
        <w:adjustRightInd w:val="0"/>
        <w:snapToGrid w:val="0"/>
        <w:ind w:firstLineChars="200" w:firstLine="640"/>
        <w:jc w:val="center"/>
        <w:rPr>
          <w:rFonts w:ascii="仿宋_GB2312" w:eastAsia="仿宋_GB2312" w:hAnsi="宋体"/>
          <w:b/>
          <w:sz w:val="32"/>
          <w:szCs w:val="28"/>
          <w:lang w:val="zh-CN"/>
        </w:rPr>
      </w:pPr>
      <w:r>
        <w:rPr>
          <w:rFonts w:ascii="仿宋_GB2312" w:eastAsia="仿宋_GB2312" w:hAnsi="宋体"/>
          <w:noProof/>
          <w:sz w:val="32"/>
          <w:szCs w:val="32"/>
        </w:rPr>
        <w:drawing>
          <wp:inline distT="0" distB="0" distL="0" distR="0">
            <wp:extent cx="5479415" cy="579755"/>
            <wp:effectExtent l="19050" t="0" r="6985" b="0"/>
            <wp:docPr id="8" name="图片 3" descr="C:\Users\ADMINI~1\AppData\Local\Temp\WeChat Files\292748d1c04db2616795d87dd157f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WeChat Files\292748d1c04db2616795d87dd157f42.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79200" cy="579600"/>
                    </a:xfrm>
                    <a:prstGeom prst="rect">
                      <a:avLst/>
                    </a:prstGeom>
                    <a:noFill/>
                    <a:ln>
                      <a:noFill/>
                    </a:ln>
                  </pic:spPr>
                </pic:pic>
              </a:graphicData>
            </a:graphic>
          </wp:inline>
        </w:drawing>
      </w:r>
      <w:r w:rsidR="009129C8" w:rsidRPr="000057F8">
        <w:rPr>
          <w:rFonts w:ascii="仿宋_GB2312" w:eastAsia="仿宋_GB2312" w:hAnsi="宋体" w:hint="eastAsia"/>
          <w:b/>
          <w:sz w:val="32"/>
          <w:szCs w:val="28"/>
          <w:lang w:val="zh-CN"/>
        </w:rPr>
        <w:t>瞪羚企业</w:t>
      </w:r>
    </w:p>
    <w:p w:rsidR="00316721" w:rsidRDefault="00316721" w:rsidP="00316721">
      <w:pPr>
        <w:adjustRightInd w:val="0"/>
        <w:snapToGrid w:val="0"/>
        <w:ind w:firstLineChars="200" w:firstLine="643"/>
        <w:jc w:val="center"/>
        <w:rPr>
          <w:rFonts w:ascii="仿宋_GB2312" w:eastAsia="仿宋_GB2312" w:hAnsi="宋体"/>
          <w:b/>
          <w:sz w:val="32"/>
          <w:szCs w:val="28"/>
          <w:lang w:val="zh-CN"/>
        </w:rPr>
      </w:pPr>
    </w:p>
    <w:p w:rsidR="0030026B" w:rsidRPr="000057F8" w:rsidRDefault="00316721" w:rsidP="00316721">
      <w:pPr>
        <w:adjustRightInd w:val="0"/>
        <w:snapToGrid w:val="0"/>
        <w:ind w:firstLineChars="200" w:firstLine="643"/>
        <w:jc w:val="center"/>
        <w:rPr>
          <w:rFonts w:ascii="仿宋_GB2312" w:eastAsia="仿宋_GB2312" w:hAnsi="宋体"/>
          <w:b/>
          <w:sz w:val="32"/>
          <w:szCs w:val="28"/>
          <w:lang w:val="zh-CN"/>
        </w:rPr>
      </w:pPr>
      <w:r w:rsidRPr="000057F8">
        <w:rPr>
          <w:rFonts w:ascii="仿宋_GB2312" w:eastAsia="仿宋_GB2312" w:hAnsi="宋体"/>
          <w:b/>
          <w:noProof/>
          <w:sz w:val="32"/>
          <w:szCs w:val="28"/>
        </w:rPr>
        <w:lastRenderedPageBreak/>
        <w:drawing>
          <wp:inline distT="0" distB="0" distL="0" distR="0">
            <wp:extent cx="4897755" cy="906780"/>
            <wp:effectExtent l="19050" t="0" r="0" b="0"/>
            <wp:docPr id="9" name="图片 5" descr="C:\Users\ADMINI~1\AppData\Local\Temp\WeChat Files\2d8affa10bd021d7c39bfbb85f8e2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2d8affa10bd021d7c39bfbb85f8e2cc.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897755" cy="906780"/>
                    </a:xfrm>
                    <a:prstGeom prst="rect">
                      <a:avLst/>
                    </a:prstGeom>
                    <a:noFill/>
                    <a:ln>
                      <a:noFill/>
                    </a:ln>
                  </pic:spPr>
                </pic:pic>
              </a:graphicData>
            </a:graphic>
          </wp:inline>
        </w:drawing>
      </w:r>
    </w:p>
    <w:p w:rsidR="0030026B" w:rsidRPr="000057F8" w:rsidRDefault="009129C8" w:rsidP="000057F8">
      <w:pPr>
        <w:adjustRightInd w:val="0"/>
        <w:snapToGrid w:val="0"/>
        <w:spacing w:line="560" w:lineRule="exact"/>
        <w:ind w:firstLineChars="200" w:firstLine="643"/>
        <w:jc w:val="center"/>
        <w:rPr>
          <w:rFonts w:ascii="仿宋_GB2312" w:eastAsia="仿宋_GB2312" w:hAnsi="宋体"/>
          <w:b/>
          <w:sz w:val="32"/>
          <w:szCs w:val="28"/>
          <w:lang w:val="zh-CN"/>
        </w:rPr>
      </w:pPr>
      <w:r w:rsidRPr="000057F8">
        <w:rPr>
          <w:rFonts w:ascii="仿宋_GB2312" w:eastAsia="仿宋_GB2312" w:hAnsi="宋体" w:hint="eastAsia"/>
          <w:b/>
          <w:sz w:val="32"/>
          <w:szCs w:val="28"/>
          <w:lang w:val="zh-CN"/>
        </w:rPr>
        <w:t>高新技术企业</w:t>
      </w:r>
    </w:p>
    <w:p w:rsidR="0030026B" w:rsidRDefault="009129C8" w:rsidP="00D73C75">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基本要求</w:t>
      </w:r>
    </w:p>
    <w:p w:rsidR="00D75D3C" w:rsidRDefault="009129C8" w:rsidP="00D75D3C">
      <w:pPr>
        <w:adjustRightInd w:val="0"/>
        <w:snapToGrid w:val="0"/>
        <w:ind w:firstLineChars="200" w:firstLine="640"/>
        <w:jc w:val="left"/>
        <w:rPr>
          <w:rFonts w:ascii="仿宋_GB2312" w:eastAsia="仿宋_GB2312" w:hAnsi="宋体"/>
          <w:sz w:val="32"/>
          <w:szCs w:val="32"/>
        </w:rPr>
      </w:pPr>
      <w:r>
        <w:rPr>
          <w:rFonts w:ascii="仿宋_GB2312" w:eastAsia="仿宋_GB2312" w:hAnsi="宋体" w:hint="eastAsia"/>
          <w:sz w:val="32"/>
          <w:szCs w:val="32"/>
          <w:lang w:val="zh-CN"/>
        </w:rPr>
        <w:t>包括</w:t>
      </w:r>
      <w:r>
        <w:rPr>
          <w:rFonts w:ascii="仿宋_GB2312" w:eastAsia="仿宋_GB2312" w:hAnsi="宋体"/>
          <w:sz w:val="32"/>
          <w:szCs w:val="32"/>
          <w:lang w:val="zh-CN"/>
        </w:rPr>
        <w:t>对培育企业的要求和对服务机构的要求</w:t>
      </w:r>
      <w:r>
        <w:rPr>
          <w:rFonts w:ascii="仿宋_GB2312" w:eastAsia="仿宋_GB2312" w:hAnsi="宋体" w:hint="eastAsia"/>
          <w:sz w:val="32"/>
          <w:szCs w:val="32"/>
          <w:lang w:val="zh-CN"/>
        </w:rPr>
        <w:t>。对</w:t>
      </w:r>
      <w:r>
        <w:rPr>
          <w:rFonts w:ascii="仿宋_GB2312" w:eastAsia="仿宋_GB2312" w:hAnsi="宋体"/>
          <w:sz w:val="32"/>
          <w:szCs w:val="32"/>
          <w:lang w:val="zh-CN"/>
        </w:rPr>
        <w:t>培育企业的要求主要依据《</w:t>
      </w:r>
      <w:r>
        <w:rPr>
          <w:rFonts w:ascii="仿宋_GB2312" w:eastAsia="仿宋_GB2312" w:hAnsi="宋体" w:hint="eastAsia"/>
          <w:sz w:val="32"/>
          <w:szCs w:val="32"/>
          <w:lang w:val="zh-CN"/>
        </w:rPr>
        <w:t>自治区科技厅关于开展2021年广西瞪羚企业认定申报工作的通知</w:t>
      </w:r>
      <w:r>
        <w:rPr>
          <w:rFonts w:ascii="仿宋_GB2312" w:eastAsia="仿宋_GB2312" w:hAnsi="宋体"/>
          <w:sz w:val="32"/>
          <w:szCs w:val="32"/>
          <w:lang w:val="zh-CN"/>
        </w:rPr>
        <w:t>》</w:t>
      </w:r>
      <w:r>
        <w:rPr>
          <w:rFonts w:ascii="仿宋_GB2312" w:eastAsia="仿宋_GB2312" w:hAnsi="宋体" w:hint="eastAsia"/>
          <w:sz w:val="32"/>
          <w:szCs w:val="32"/>
          <w:lang w:val="zh-CN"/>
        </w:rPr>
        <w:t>的</w:t>
      </w:r>
      <w:r>
        <w:rPr>
          <w:rFonts w:ascii="仿宋_GB2312" w:eastAsia="仿宋_GB2312" w:hAnsi="宋体"/>
          <w:sz w:val="32"/>
          <w:szCs w:val="32"/>
          <w:lang w:val="zh-CN"/>
        </w:rPr>
        <w:t>要求进行确定</w:t>
      </w:r>
      <w:r w:rsidR="00D75D3C">
        <w:rPr>
          <w:rFonts w:ascii="仿宋_GB2312" w:eastAsia="仿宋_GB2312" w:hAnsi="宋体" w:hint="eastAsia"/>
          <w:sz w:val="32"/>
          <w:szCs w:val="32"/>
          <w:lang w:val="zh-CN"/>
        </w:rPr>
        <w:t>；</w:t>
      </w:r>
      <w:r>
        <w:rPr>
          <w:rFonts w:ascii="仿宋_GB2312" w:eastAsia="仿宋_GB2312" w:hAnsi="宋体"/>
          <w:sz w:val="32"/>
          <w:szCs w:val="32"/>
          <w:lang w:val="zh-CN"/>
        </w:rPr>
        <w:t>对培育企业的</w:t>
      </w:r>
      <w:r>
        <w:rPr>
          <w:rFonts w:ascii="仿宋_GB2312" w:eastAsia="仿宋_GB2312" w:hAnsi="宋体" w:hint="eastAsia"/>
          <w:sz w:val="32"/>
          <w:szCs w:val="32"/>
          <w:lang w:val="zh-CN"/>
        </w:rPr>
        <w:t>基本要求</w:t>
      </w:r>
      <w:r>
        <w:rPr>
          <w:rFonts w:ascii="仿宋_GB2312" w:eastAsia="仿宋_GB2312" w:hAnsi="宋体"/>
          <w:sz w:val="32"/>
          <w:szCs w:val="32"/>
          <w:lang w:val="zh-CN"/>
        </w:rPr>
        <w:t>是</w:t>
      </w:r>
      <w:r>
        <w:rPr>
          <w:rFonts w:ascii="仿宋_GB2312" w:eastAsia="仿宋_GB2312" w:hAnsi="宋体" w:hint="eastAsia"/>
          <w:sz w:val="32"/>
          <w:szCs w:val="32"/>
        </w:rPr>
        <w:t>在广西壮族自治区区域内依法登记注册，具有独立法人资格，成长速度快、创新能力强、发展潜力大，信用良好且近几年无重大安全、重大质量事故和严重环境违法行为，已被认定为高新技术企业的企业。此外对规模和效益</w:t>
      </w:r>
      <w:r>
        <w:rPr>
          <w:rFonts w:ascii="仿宋_GB2312" w:eastAsia="仿宋_GB2312" w:hAnsi="宋体"/>
          <w:sz w:val="32"/>
          <w:szCs w:val="32"/>
        </w:rPr>
        <w:t>、创新能力</w:t>
      </w:r>
      <w:r>
        <w:rPr>
          <w:rFonts w:ascii="仿宋_GB2312" w:eastAsia="仿宋_GB2312" w:hAnsi="宋体" w:hint="eastAsia"/>
          <w:sz w:val="32"/>
          <w:szCs w:val="32"/>
        </w:rPr>
        <w:t>等</w:t>
      </w:r>
      <w:r>
        <w:rPr>
          <w:rFonts w:ascii="仿宋_GB2312" w:eastAsia="仿宋_GB2312" w:hAnsi="宋体"/>
          <w:sz w:val="32"/>
          <w:szCs w:val="32"/>
        </w:rPr>
        <w:t>也进行了要求。服务机构</w:t>
      </w:r>
      <w:r w:rsidR="00D75D3C">
        <w:rPr>
          <w:rFonts w:ascii="仿宋_GB2312" w:eastAsia="仿宋_GB2312" w:hAnsi="宋体" w:hint="eastAsia"/>
          <w:sz w:val="32"/>
          <w:szCs w:val="32"/>
        </w:rPr>
        <w:t>参考了高新技术企业培育机构要求，</w:t>
      </w:r>
      <w:r>
        <w:rPr>
          <w:rFonts w:ascii="仿宋_GB2312" w:eastAsia="仿宋_GB2312" w:hAnsi="宋体" w:hint="eastAsia"/>
          <w:sz w:val="32"/>
          <w:szCs w:val="32"/>
        </w:rPr>
        <w:t>以满足</w:t>
      </w:r>
      <w:r>
        <w:rPr>
          <w:rFonts w:ascii="仿宋_GB2312" w:eastAsia="仿宋_GB2312" w:hAnsi="宋体"/>
          <w:sz w:val="32"/>
          <w:szCs w:val="32"/>
        </w:rPr>
        <w:t>瞪羚企业培育服务需求为主，对服务机构的资质、服务人员、服务</w:t>
      </w:r>
      <w:r w:rsidR="00D75D3C">
        <w:rPr>
          <w:rFonts w:ascii="仿宋_GB2312" w:eastAsia="仿宋_GB2312" w:hAnsi="宋体" w:hint="eastAsia"/>
          <w:sz w:val="32"/>
          <w:szCs w:val="32"/>
        </w:rPr>
        <w:t>质量</w:t>
      </w:r>
      <w:r>
        <w:rPr>
          <w:rFonts w:ascii="仿宋_GB2312" w:eastAsia="仿宋_GB2312" w:hAnsi="宋体"/>
          <w:sz w:val="32"/>
          <w:szCs w:val="32"/>
        </w:rPr>
        <w:t>等进行要求。</w:t>
      </w:r>
    </w:p>
    <w:p w:rsidR="0030026B" w:rsidRDefault="00D75D3C" w:rsidP="00D75D3C">
      <w:pPr>
        <w:adjustRightInd w:val="0"/>
        <w:snapToGrid w:val="0"/>
        <w:jc w:val="center"/>
        <w:rPr>
          <w:rFonts w:ascii="仿宋_GB2312" w:eastAsia="仿宋_GB2312" w:hAnsi="宋体"/>
          <w:sz w:val="32"/>
          <w:szCs w:val="32"/>
        </w:rPr>
      </w:pPr>
      <w:r>
        <w:rPr>
          <w:rFonts w:ascii="仿宋_GB2312" w:eastAsia="仿宋_GB2312" w:hAnsi="宋体"/>
          <w:noProof/>
          <w:sz w:val="32"/>
          <w:szCs w:val="32"/>
        </w:rPr>
        <w:drawing>
          <wp:inline distT="0" distB="0" distL="0" distR="0">
            <wp:extent cx="5324787" cy="1820849"/>
            <wp:effectExtent l="19050" t="0" r="9213" b="0"/>
            <wp:docPr id="10" name="图片 1" descr="C:\Users\ADMINI~1\AppData\Local\Temp\WeChat Files\f6f1ba6984f0a18049b02a45db2b2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f6f1ba6984f0a18049b02a45db2b243.png"/>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327612" cy="1821815"/>
                    </a:xfrm>
                    <a:prstGeom prst="rect">
                      <a:avLst/>
                    </a:prstGeom>
                    <a:noFill/>
                    <a:ln>
                      <a:noFill/>
                    </a:ln>
                  </pic:spPr>
                </pic:pic>
              </a:graphicData>
            </a:graphic>
          </wp:inline>
        </w:drawing>
      </w:r>
    </w:p>
    <w:p w:rsidR="0030026B" w:rsidRDefault="009129C8" w:rsidP="00D73C75">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培育服务</w:t>
      </w:r>
    </w:p>
    <w:p w:rsidR="0030026B" w:rsidRDefault="009129C8">
      <w:pPr>
        <w:pStyle w:val="af5"/>
        <w:ind w:firstLine="640"/>
        <w:rPr>
          <w:rFonts w:ascii="仿宋_GB2312" w:eastAsia="仿宋_GB2312" w:hAnsi="宋体"/>
          <w:sz w:val="32"/>
          <w:szCs w:val="32"/>
          <w:lang w:val="zh-CN"/>
        </w:rPr>
      </w:pPr>
      <w:r>
        <w:rPr>
          <w:rFonts w:ascii="仿宋_GB2312" w:eastAsia="仿宋_GB2312" w:hAnsi="宋体" w:hint="eastAsia"/>
          <w:sz w:val="32"/>
          <w:szCs w:val="32"/>
          <w:lang w:val="zh-CN"/>
        </w:rPr>
        <w:t>瞪羚企业是指成功跨越创业死亡谷后，商业模式得到市场认可，进入爆发式增长阶段的创新型企业。瞪羚企业作为成长速度快、创新能力强、专业领域新、发展潜力大的高成长型企业，是地方创新能力提升和经济增长动力转换的重要力量，2020年，自</w:t>
      </w:r>
      <w:r>
        <w:rPr>
          <w:rFonts w:ascii="仿宋_GB2312" w:eastAsia="仿宋_GB2312" w:hAnsi="宋体" w:hint="eastAsia"/>
          <w:sz w:val="32"/>
          <w:szCs w:val="32"/>
          <w:lang w:val="zh-CN"/>
        </w:rPr>
        <w:lastRenderedPageBreak/>
        <w:t>治区科技厅出台了</w:t>
      </w:r>
      <w:r>
        <w:rPr>
          <w:rFonts w:ascii="仿宋_GB2312" w:eastAsia="仿宋_GB2312" w:hAnsi="宋体" w:hint="eastAsia"/>
          <w:b/>
          <w:bCs/>
          <w:sz w:val="32"/>
          <w:szCs w:val="32"/>
          <w:lang w:val="zh-CN"/>
        </w:rPr>
        <w:t>《加快培育瞪羚企业创新发展若干措施》</w:t>
      </w:r>
      <w:r>
        <w:rPr>
          <w:rFonts w:ascii="仿宋_GB2312" w:eastAsia="仿宋_GB2312" w:hAnsi="宋体" w:hint="eastAsia"/>
          <w:sz w:val="32"/>
          <w:szCs w:val="32"/>
          <w:lang w:val="zh-CN"/>
        </w:rPr>
        <w:t>，建立了“科技型中小企业—高新技术企业—瞪羚企业”的梯次培育体系，通过政策激励、平台构建、项目支持等方式，推动了瞪羚企业快速发展，并发展成为我区创新创业的主力军和经济增长的新动能。</w:t>
      </w:r>
    </w:p>
    <w:p w:rsidR="00080745" w:rsidRDefault="009129C8" w:rsidP="00080745">
      <w:pPr>
        <w:pStyle w:val="af5"/>
        <w:ind w:firstLine="640"/>
        <w:rPr>
          <w:rFonts w:ascii="仿宋_GB2312" w:eastAsia="仿宋_GB2312" w:hAnsi="宋体"/>
          <w:sz w:val="32"/>
          <w:szCs w:val="32"/>
          <w:lang w:val="zh-CN"/>
        </w:rPr>
      </w:pPr>
      <w:r>
        <w:rPr>
          <w:rFonts w:ascii="仿宋_GB2312" w:eastAsia="仿宋_GB2312" w:hAnsi="宋体" w:hint="eastAsia"/>
          <w:sz w:val="32"/>
          <w:szCs w:val="32"/>
          <w:lang w:val="zh-CN"/>
        </w:rPr>
        <w:t>培育服务</w:t>
      </w:r>
      <w:r>
        <w:rPr>
          <w:rFonts w:ascii="仿宋_GB2312" w:eastAsia="仿宋_GB2312" w:hAnsi="宋体"/>
          <w:sz w:val="32"/>
          <w:szCs w:val="32"/>
          <w:lang w:val="zh-CN"/>
        </w:rPr>
        <w:t>流程</w:t>
      </w:r>
      <w:r>
        <w:rPr>
          <w:rFonts w:ascii="仿宋_GB2312" w:eastAsia="仿宋_GB2312" w:hAnsi="宋体" w:hint="eastAsia"/>
          <w:sz w:val="32"/>
          <w:szCs w:val="32"/>
          <w:lang w:val="zh-CN"/>
        </w:rPr>
        <w:t>依次为</w:t>
      </w:r>
      <w:r w:rsidR="00080745">
        <w:rPr>
          <w:rFonts w:ascii="仿宋_GB2312" w:eastAsia="仿宋_GB2312" w:hAnsi="宋体" w:hint="eastAsia"/>
          <w:sz w:val="32"/>
          <w:szCs w:val="32"/>
          <w:lang w:val="zh-CN"/>
        </w:rPr>
        <w:t>宣传与</w:t>
      </w:r>
      <w:r>
        <w:rPr>
          <w:rFonts w:ascii="仿宋_GB2312" w:eastAsia="仿宋_GB2312" w:hAnsi="宋体"/>
          <w:sz w:val="32"/>
          <w:szCs w:val="32"/>
          <w:lang w:val="zh-CN"/>
        </w:rPr>
        <w:t>洽谈、</w:t>
      </w:r>
      <w:r w:rsidR="00080745">
        <w:rPr>
          <w:rFonts w:ascii="仿宋_GB2312" w:eastAsia="仿宋_GB2312" w:hAnsi="宋体" w:hint="eastAsia"/>
          <w:sz w:val="32"/>
          <w:szCs w:val="32"/>
          <w:lang w:val="zh-CN"/>
        </w:rPr>
        <w:t>企业诊断分析、</w:t>
      </w:r>
      <w:r>
        <w:rPr>
          <w:rFonts w:ascii="仿宋_GB2312" w:eastAsia="仿宋_GB2312" w:hAnsi="宋体"/>
          <w:sz w:val="32"/>
          <w:szCs w:val="32"/>
          <w:lang w:val="zh-CN"/>
        </w:rPr>
        <w:t>委托</w:t>
      </w:r>
      <w:r>
        <w:rPr>
          <w:rFonts w:ascii="仿宋_GB2312" w:eastAsia="仿宋_GB2312" w:hAnsi="宋体" w:hint="eastAsia"/>
          <w:sz w:val="32"/>
          <w:szCs w:val="32"/>
          <w:lang w:val="zh-CN"/>
        </w:rPr>
        <w:t>与</w:t>
      </w:r>
      <w:r>
        <w:rPr>
          <w:rFonts w:ascii="仿宋_GB2312" w:eastAsia="仿宋_GB2312" w:hAnsi="宋体"/>
          <w:sz w:val="32"/>
          <w:szCs w:val="32"/>
          <w:lang w:val="zh-CN"/>
        </w:rPr>
        <w:t>签约、</w:t>
      </w:r>
      <w:r>
        <w:rPr>
          <w:rFonts w:ascii="仿宋_GB2312" w:eastAsia="仿宋_GB2312" w:hAnsi="宋体" w:hint="eastAsia"/>
          <w:sz w:val="32"/>
          <w:szCs w:val="32"/>
          <w:lang w:val="zh-CN"/>
        </w:rPr>
        <w:t>制定</w:t>
      </w:r>
      <w:r>
        <w:rPr>
          <w:rFonts w:ascii="仿宋_GB2312" w:eastAsia="仿宋_GB2312" w:hAnsi="宋体"/>
          <w:sz w:val="32"/>
          <w:szCs w:val="32"/>
          <w:lang w:val="zh-CN"/>
        </w:rPr>
        <w:t>培育方案、</w:t>
      </w:r>
      <w:r w:rsidR="00080745">
        <w:rPr>
          <w:rFonts w:ascii="仿宋_GB2312" w:eastAsia="仿宋_GB2312" w:hAnsi="宋体" w:hint="eastAsia"/>
          <w:sz w:val="32"/>
          <w:szCs w:val="32"/>
          <w:lang w:val="zh-CN"/>
        </w:rPr>
        <w:t>组织</w:t>
      </w:r>
      <w:r>
        <w:rPr>
          <w:rFonts w:ascii="仿宋_GB2312" w:eastAsia="仿宋_GB2312" w:hAnsi="宋体"/>
          <w:sz w:val="32"/>
          <w:szCs w:val="32"/>
          <w:lang w:val="zh-CN"/>
        </w:rPr>
        <w:t>实施、</w:t>
      </w:r>
      <w:r w:rsidR="00080745">
        <w:rPr>
          <w:rFonts w:ascii="仿宋_GB2312" w:eastAsia="仿宋_GB2312" w:hAnsi="宋体" w:hint="eastAsia"/>
          <w:sz w:val="32"/>
          <w:szCs w:val="32"/>
          <w:lang w:val="zh-CN"/>
        </w:rPr>
        <w:t>总结与跟踪、服务改进</w:t>
      </w:r>
      <w:r>
        <w:rPr>
          <w:rFonts w:ascii="仿宋_GB2312" w:eastAsia="仿宋_GB2312" w:hAnsi="宋体"/>
          <w:sz w:val="32"/>
          <w:szCs w:val="32"/>
          <w:lang w:val="zh-CN"/>
        </w:rPr>
        <w:t>。</w:t>
      </w:r>
      <w:r>
        <w:rPr>
          <w:rFonts w:ascii="仿宋_GB2312" w:eastAsia="仿宋_GB2312" w:hAnsi="宋体" w:hint="eastAsia"/>
          <w:sz w:val="32"/>
          <w:szCs w:val="32"/>
          <w:lang w:val="zh-CN"/>
        </w:rPr>
        <w:t>通过</w:t>
      </w:r>
      <w:r w:rsidR="00080745">
        <w:rPr>
          <w:rFonts w:ascii="仿宋_GB2312" w:eastAsia="仿宋_GB2312" w:hAnsi="宋体" w:hint="eastAsia"/>
          <w:sz w:val="32"/>
          <w:szCs w:val="32"/>
          <w:lang w:val="zh-CN"/>
        </w:rPr>
        <w:t>宣传与</w:t>
      </w:r>
      <w:r>
        <w:rPr>
          <w:rFonts w:ascii="仿宋_GB2312" w:eastAsia="仿宋_GB2312" w:hAnsi="宋体"/>
          <w:sz w:val="32"/>
          <w:szCs w:val="32"/>
          <w:lang w:val="zh-CN"/>
        </w:rPr>
        <w:t>洽谈可以让委托方了解</w:t>
      </w:r>
      <w:r w:rsidR="00080745">
        <w:rPr>
          <w:rFonts w:ascii="仿宋_GB2312" w:eastAsia="仿宋_GB2312" w:hAnsi="宋体" w:hint="eastAsia"/>
          <w:sz w:val="32"/>
          <w:szCs w:val="32"/>
          <w:lang w:val="zh-CN"/>
        </w:rPr>
        <w:t>瞪羚企业政策；</w:t>
      </w:r>
      <w:r>
        <w:rPr>
          <w:rFonts w:ascii="仿宋_GB2312" w:eastAsia="仿宋_GB2312" w:hAnsi="宋体"/>
          <w:sz w:val="32"/>
          <w:szCs w:val="32"/>
          <w:lang w:val="zh-CN"/>
        </w:rPr>
        <w:t>服务机构的服务方式、服务流程等，</w:t>
      </w:r>
      <w:r>
        <w:rPr>
          <w:rFonts w:ascii="仿宋_GB2312" w:eastAsia="仿宋_GB2312" w:hAnsi="宋体" w:hint="eastAsia"/>
          <w:sz w:val="32"/>
          <w:szCs w:val="32"/>
          <w:lang w:val="zh-CN"/>
        </w:rPr>
        <w:t>服务</w:t>
      </w:r>
      <w:r>
        <w:rPr>
          <w:rFonts w:ascii="仿宋_GB2312" w:eastAsia="仿宋_GB2312" w:hAnsi="宋体"/>
          <w:sz w:val="32"/>
          <w:szCs w:val="32"/>
          <w:lang w:val="zh-CN"/>
        </w:rPr>
        <w:t>机构也可充分了解</w:t>
      </w:r>
      <w:r>
        <w:rPr>
          <w:rFonts w:ascii="仿宋_GB2312" w:eastAsia="仿宋_GB2312" w:hAnsi="宋体" w:hint="eastAsia"/>
          <w:sz w:val="32"/>
          <w:szCs w:val="32"/>
          <w:lang w:val="zh-CN"/>
        </w:rPr>
        <w:t>委托方的</w:t>
      </w:r>
      <w:r>
        <w:rPr>
          <w:rFonts w:ascii="仿宋_GB2312" w:eastAsia="仿宋_GB2312" w:hAnsi="宋体"/>
          <w:sz w:val="32"/>
          <w:szCs w:val="32"/>
          <w:lang w:val="zh-CN"/>
        </w:rPr>
        <w:t>需求</w:t>
      </w:r>
      <w:r>
        <w:rPr>
          <w:rFonts w:ascii="仿宋_GB2312" w:eastAsia="仿宋_GB2312" w:hAnsi="宋体" w:hint="eastAsia"/>
          <w:sz w:val="32"/>
          <w:szCs w:val="32"/>
          <w:lang w:val="zh-CN"/>
        </w:rPr>
        <w:t>，</w:t>
      </w:r>
      <w:r>
        <w:rPr>
          <w:rFonts w:ascii="仿宋_GB2312" w:eastAsia="仿宋_GB2312" w:hAnsi="宋体"/>
          <w:sz w:val="32"/>
          <w:szCs w:val="32"/>
          <w:lang w:val="zh-CN"/>
        </w:rPr>
        <w:t>有利于培育服务的顺利进行</w:t>
      </w:r>
      <w:r>
        <w:rPr>
          <w:rFonts w:ascii="仿宋_GB2312" w:eastAsia="仿宋_GB2312" w:hAnsi="宋体" w:hint="eastAsia"/>
          <w:sz w:val="32"/>
          <w:szCs w:val="32"/>
          <w:lang w:val="zh-CN"/>
        </w:rPr>
        <w:t>。</w:t>
      </w:r>
      <w:r w:rsidR="00080745">
        <w:rPr>
          <w:rFonts w:ascii="仿宋_GB2312" w:eastAsia="仿宋_GB2312" w:hAnsi="宋体" w:hint="eastAsia"/>
          <w:sz w:val="32"/>
          <w:szCs w:val="32"/>
          <w:lang w:val="zh-CN"/>
        </w:rPr>
        <w:t>通过现场调研和询问调研</w:t>
      </w:r>
      <w:r w:rsidR="00080745" w:rsidRPr="00080745">
        <w:rPr>
          <w:rFonts w:ascii="仿宋_GB2312" w:eastAsia="仿宋_GB2312" w:hAnsi="宋体" w:hint="eastAsia"/>
          <w:sz w:val="32"/>
          <w:szCs w:val="32"/>
          <w:lang w:val="zh-CN"/>
        </w:rPr>
        <w:t>了解企业的组织机构、财务运营现状、研发等情况</w:t>
      </w:r>
      <w:r w:rsidR="00080745">
        <w:rPr>
          <w:rFonts w:ascii="仿宋_GB2312" w:eastAsia="仿宋_GB2312" w:hAnsi="宋体" w:hint="eastAsia"/>
          <w:sz w:val="32"/>
          <w:szCs w:val="32"/>
          <w:lang w:val="zh-CN"/>
        </w:rPr>
        <w:t>，</w:t>
      </w:r>
      <w:r w:rsidR="00080745" w:rsidRPr="00080745">
        <w:rPr>
          <w:rFonts w:ascii="仿宋_GB2312" w:eastAsia="仿宋_GB2312" w:hAnsi="宋体" w:hint="eastAsia"/>
          <w:sz w:val="32"/>
          <w:szCs w:val="32"/>
          <w:lang w:val="zh-CN"/>
        </w:rPr>
        <w:t>收集相关认定要求的企业信息及材料</w:t>
      </w:r>
      <w:r w:rsidR="00080745">
        <w:rPr>
          <w:rFonts w:ascii="仿宋_GB2312" w:eastAsia="仿宋_GB2312" w:hAnsi="宋体" w:hint="eastAsia"/>
          <w:sz w:val="32"/>
          <w:szCs w:val="32"/>
          <w:lang w:val="zh-CN"/>
        </w:rPr>
        <w:t>，通过汇总出具诊断报告。</w:t>
      </w:r>
      <w:r>
        <w:rPr>
          <w:rFonts w:ascii="仿宋_GB2312" w:eastAsia="仿宋_GB2312" w:hAnsi="宋体" w:hint="eastAsia"/>
          <w:sz w:val="32"/>
          <w:szCs w:val="32"/>
          <w:lang w:val="zh-CN"/>
        </w:rPr>
        <w:t>委托与</w:t>
      </w:r>
      <w:r>
        <w:rPr>
          <w:rFonts w:ascii="仿宋_GB2312" w:eastAsia="仿宋_GB2312" w:hAnsi="宋体"/>
          <w:sz w:val="32"/>
          <w:szCs w:val="32"/>
          <w:lang w:val="zh-CN"/>
        </w:rPr>
        <w:t>签约可以明确</w:t>
      </w:r>
      <w:r>
        <w:rPr>
          <w:rFonts w:ascii="仿宋_GB2312" w:eastAsia="仿宋_GB2312" w:hAnsi="宋体" w:hint="eastAsia"/>
          <w:sz w:val="32"/>
          <w:szCs w:val="32"/>
          <w:lang w:val="zh-CN"/>
        </w:rPr>
        <w:t>服务协议</w:t>
      </w:r>
      <w:r>
        <w:rPr>
          <w:rFonts w:ascii="仿宋_GB2312" w:eastAsia="仿宋_GB2312" w:hAnsi="宋体"/>
          <w:sz w:val="32"/>
          <w:szCs w:val="32"/>
          <w:lang w:val="zh-CN"/>
        </w:rPr>
        <w:t>条款，可</w:t>
      </w:r>
      <w:r>
        <w:rPr>
          <w:rFonts w:ascii="仿宋_GB2312" w:eastAsia="仿宋_GB2312" w:hAnsi="宋体" w:hint="eastAsia"/>
          <w:sz w:val="32"/>
          <w:szCs w:val="32"/>
          <w:lang w:val="zh-CN"/>
        </w:rPr>
        <w:t>作为</w:t>
      </w:r>
      <w:r>
        <w:rPr>
          <w:rFonts w:ascii="仿宋_GB2312" w:eastAsia="仿宋_GB2312" w:hAnsi="宋体"/>
          <w:sz w:val="32"/>
          <w:szCs w:val="32"/>
          <w:lang w:val="zh-CN"/>
        </w:rPr>
        <w:t>后续培育服务的指导。</w:t>
      </w:r>
      <w:r>
        <w:rPr>
          <w:rFonts w:ascii="仿宋_GB2312" w:eastAsia="仿宋_GB2312" w:hAnsi="宋体" w:hint="eastAsia"/>
          <w:sz w:val="32"/>
          <w:szCs w:val="32"/>
          <w:lang w:val="zh-CN"/>
        </w:rPr>
        <w:t>制定</w:t>
      </w:r>
      <w:r>
        <w:rPr>
          <w:rFonts w:ascii="仿宋_GB2312" w:eastAsia="仿宋_GB2312" w:hAnsi="宋体"/>
          <w:sz w:val="32"/>
          <w:szCs w:val="32"/>
          <w:lang w:val="zh-CN"/>
        </w:rPr>
        <w:t>培育方案</w:t>
      </w:r>
      <w:r>
        <w:rPr>
          <w:rFonts w:ascii="仿宋_GB2312" w:eastAsia="仿宋_GB2312" w:hAnsi="宋体" w:hint="eastAsia"/>
          <w:sz w:val="32"/>
          <w:szCs w:val="32"/>
          <w:lang w:val="zh-CN"/>
        </w:rPr>
        <w:t>时</w:t>
      </w:r>
      <w:r>
        <w:rPr>
          <w:rFonts w:ascii="仿宋_GB2312" w:eastAsia="仿宋_GB2312" w:hAnsi="宋体"/>
          <w:sz w:val="32"/>
          <w:szCs w:val="32"/>
          <w:lang w:val="zh-CN"/>
        </w:rPr>
        <w:t>双方商定培育目标、培育内容、培育时限</w:t>
      </w:r>
      <w:r>
        <w:rPr>
          <w:rFonts w:ascii="仿宋_GB2312" w:eastAsia="仿宋_GB2312" w:hAnsi="宋体" w:hint="eastAsia"/>
          <w:sz w:val="32"/>
          <w:szCs w:val="32"/>
          <w:lang w:val="zh-CN"/>
        </w:rPr>
        <w:t>和</w:t>
      </w:r>
      <w:r>
        <w:rPr>
          <w:rFonts w:ascii="仿宋_GB2312" w:eastAsia="仿宋_GB2312" w:hAnsi="宋体"/>
          <w:sz w:val="32"/>
          <w:szCs w:val="32"/>
          <w:lang w:val="zh-CN"/>
        </w:rPr>
        <w:t>服务要求，</w:t>
      </w:r>
      <w:r>
        <w:rPr>
          <w:rFonts w:ascii="仿宋_GB2312" w:eastAsia="仿宋_GB2312" w:hAnsi="宋体" w:hint="eastAsia"/>
          <w:sz w:val="32"/>
          <w:szCs w:val="32"/>
          <w:lang w:val="zh-CN"/>
        </w:rPr>
        <w:t>制定</w:t>
      </w:r>
      <w:r>
        <w:rPr>
          <w:rFonts w:ascii="仿宋_GB2312" w:eastAsia="仿宋_GB2312" w:hAnsi="宋体"/>
          <w:sz w:val="32"/>
          <w:szCs w:val="32"/>
          <w:lang w:val="zh-CN"/>
        </w:rPr>
        <w:t>并出具培育方案。</w:t>
      </w:r>
      <w:r w:rsidR="00080745" w:rsidRPr="00080745">
        <w:rPr>
          <w:rFonts w:ascii="仿宋_GB2312" w:eastAsia="仿宋_GB2312" w:hAnsi="宋体" w:hint="eastAsia"/>
          <w:sz w:val="32"/>
          <w:szCs w:val="32"/>
          <w:lang w:val="zh-CN"/>
        </w:rPr>
        <w:t>根据合同及培育方案制定服务实施方案，并做好有效的人力、经费等相关资源配置保障工作</w:t>
      </w:r>
      <w:r w:rsidR="00080745">
        <w:rPr>
          <w:rFonts w:ascii="仿宋_GB2312" w:eastAsia="仿宋_GB2312" w:hAnsi="宋体" w:hint="eastAsia"/>
          <w:sz w:val="32"/>
          <w:szCs w:val="32"/>
          <w:lang w:val="zh-CN"/>
        </w:rPr>
        <w:t>，</w:t>
      </w:r>
      <w:r w:rsidR="00080745" w:rsidRPr="00080745">
        <w:rPr>
          <w:rFonts w:ascii="仿宋_GB2312" w:eastAsia="仿宋_GB2312" w:hAnsi="宋体" w:hint="eastAsia"/>
          <w:sz w:val="32"/>
          <w:szCs w:val="32"/>
          <w:lang w:val="zh-CN"/>
        </w:rPr>
        <w:t>服务活动完成后，按合同约定，及时、安全交付</w:t>
      </w:r>
      <w:r w:rsidR="00080745">
        <w:rPr>
          <w:rFonts w:ascii="仿宋_GB2312" w:eastAsia="仿宋_GB2312" w:hAnsi="宋体" w:hint="eastAsia"/>
          <w:sz w:val="32"/>
          <w:szCs w:val="32"/>
          <w:lang w:val="zh-CN"/>
        </w:rPr>
        <w:t>。培育结束后服务机构对培育效果进行评价，</w:t>
      </w:r>
      <w:r w:rsidR="00080745" w:rsidRPr="00080745">
        <w:rPr>
          <w:rFonts w:ascii="仿宋_GB2312" w:eastAsia="仿宋_GB2312" w:hAnsi="宋体" w:hint="eastAsia"/>
          <w:sz w:val="32"/>
          <w:szCs w:val="32"/>
          <w:lang w:val="zh-CN"/>
        </w:rPr>
        <w:t>及时对委托方进行回访，并开展合理、规范、有效的满意度调查</w:t>
      </w:r>
      <w:r w:rsidR="00080745">
        <w:rPr>
          <w:rFonts w:ascii="仿宋_GB2312" w:eastAsia="仿宋_GB2312" w:hAnsi="宋体" w:hint="eastAsia"/>
          <w:sz w:val="32"/>
          <w:szCs w:val="32"/>
          <w:lang w:val="zh-CN"/>
        </w:rPr>
        <w:t>，</w:t>
      </w:r>
      <w:r w:rsidR="00080745" w:rsidRPr="00080745">
        <w:rPr>
          <w:rFonts w:ascii="仿宋_GB2312" w:eastAsia="仿宋_GB2312" w:hAnsi="宋体" w:hint="eastAsia"/>
          <w:sz w:val="32"/>
          <w:szCs w:val="32"/>
          <w:lang w:val="zh-CN"/>
        </w:rPr>
        <w:t>与委托方协调沟通，确定后续服务事项，持续开展后续跟踪服务。</w:t>
      </w:r>
    </w:p>
    <w:p w:rsidR="0030026B" w:rsidRDefault="009129C8" w:rsidP="00D73C75">
      <w:pPr>
        <w:pStyle w:val="af5"/>
        <w:numPr>
          <w:ilvl w:val="0"/>
          <w:numId w:val="4"/>
        </w:numPr>
        <w:adjustRightInd w:val="0"/>
        <w:snapToGrid w:val="0"/>
        <w:spacing w:beforeLines="50" w:afterLines="50" w:line="560" w:lineRule="exact"/>
        <w:ind w:firstLineChars="0"/>
        <w:rPr>
          <w:rFonts w:ascii="楷体" w:eastAsia="楷体" w:hAnsi="楷体" w:cs="仿宋_GB2312"/>
          <w:b/>
          <w:sz w:val="32"/>
          <w:szCs w:val="32"/>
        </w:rPr>
      </w:pPr>
      <w:r>
        <w:rPr>
          <w:rFonts w:ascii="楷体" w:eastAsia="楷体" w:hAnsi="楷体" w:cs="仿宋_GB2312" w:hint="eastAsia"/>
          <w:b/>
          <w:sz w:val="32"/>
          <w:szCs w:val="32"/>
        </w:rPr>
        <w:t>服务内容</w:t>
      </w:r>
    </w:p>
    <w:p w:rsidR="00AB16FA" w:rsidRDefault="009129C8" w:rsidP="00AB16FA">
      <w:pPr>
        <w:pStyle w:val="af5"/>
        <w:adjustRightInd w:val="0"/>
        <w:snapToGrid w:val="0"/>
        <w:spacing w:line="560" w:lineRule="exact"/>
        <w:ind w:firstLine="640"/>
        <w:jc w:val="left"/>
        <w:rPr>
          <w:rFonts w:ascii="仿宋_GB2312" w:eastAsia="仿宋_GB2312" w:hAnsi="宋体"/>
          <w:sz w:val="32"/>
          <w:szCs w:val="32"/>
          <w:lang w:val="zh-CN"/>
        </w:rPr>
      </w:pPr>
      <w:r>
        <w:rPr>
          <w:rFonts w:ascii="仿宋_GB2312" w:eastAsia="仿宋_GB2312" w:hAnsi="宋体" w:hint="eastAsia"/>
          <w:sz w:val="32"/>
          <w:szCs w:val="32"/>
          <w:lang w:val="zh-CN"/>
        </w:rPr>
        <w:t>服务内容</w:t>
      </w:r>
      <w:r>
        <w:rPr>
          <w:rFonts w:ascii="仿宋_GB2312" w:eastAsia="仿宋_GB2312" w:hAnsi="宋体"/>
          <w:sz w:val="32"/>
          <w:szCs w:val="32"/>
          <w:lang w:val="zh-CN"/>
        </w:rPr>
        <w:t>主要依据《</w:t>
      </w:r>
      <w:r>
        <w:rPr>
          <w:rFonts w:ascii="仿宋_GB2312" w:eastAsia="仿宋_GB2312" w:hAnsi="宋体" w:hint="eastAsia"/>
          <w:sz w:val="32"/>
          <w:szCs w:val="32"/>
          <w:lang w:val="zh-CN"/>
        </w:rPr>
        <w:t>自治区科技厅关于开展2021年广西瞪</w:t>
      </w:r>
      <w:r>
        <w:rPr>
          <w:rFonts w:ascii="仿宋_GB2312" w:eastAsia="仿宋_GB2312" w:hAnsi="宋体" w:hint="eastAsia"/>
          <w:sz w:val="32"/>
          <w:szCs w:val="32"/>
          <w:lang w:val="zh-CN"/>
        </w:rPr>
        <w:lastRenderedPageBreak/>
        <w:t>羚企业认定申报工作的通知</w:t>
      </w:r>
      <w:r>
        <w:rPr>
          <w:rFonts w:ascii="仿宋_GB2312" w:eastAsia="仿宋_GB2312" w:hAnsi="宋体"/>
          <w:sz w:val="32"/>
          <w:szCs w:val="32"/>
          <w:lang w:val="zh-CN"/>
        </w:rPr>
        <w:t>》</w:t>
      </w:r>
      <w:r>
        <w:rPr>
          <w:rFonts w:ascii="仿宋_GB2312" w:eastAsia="仿宋_GB2312" w:hAnsi="宋体" w:hint="eastAsia"/>
          <w:sz w:val="32"/>
          <w:szCs w:val="32"/>
          <w:lang w:val="zh-CN"/>
        </w:rPr>
        <w:t>进行</w:t>
      </w:r>
      <w:r>
        <w:rPr>
          <w:rFonts w:ascii="仿宋_GB2312" w:eastAsia="仿宋_GB2312" w:hAnsi="宋体"/>
          <w:sz w:val="32"/>
          <w:szCs w:val="32"/>
          <w:lang w:val="zh-CN"/>
        </w:rPr>
        <w:t>确定，</w:t>
      </w:r>
      <w:r>
        <w:rPr>
          <w:rFonts w:ascii="仿宋_GB2312" w:eastAsia="仿宋_GB2312" w:hAnsi="宋体" w:hint="eastAsia"/>
          <w:sz w:val="32"/>
          <w:szCs w:val="32"/>
          <w:lang w:val="zh-CN"/>
        </w:rPr>
        <w:t>根据瞪羚企业</w:t>
      </w:r>
      <w:r>
        <w:rPr>
          <w:rFonts w:ascii="仿宋_GB2312" w:eastAsia="仿宋_GB2312" w:hAnsi="宋体"/>
          <w:sz w:val="32"/>
          <w:szCs w:val="32"/>
          <w:lang w:val="zh-CN"/>
        </w:rPr>
        <w:t>认定</w:t>
      </w:r>
      <w:r>
        <w:rPr>
          <w:rFonts w:ascii="仿宋_GB2312" w:eastAsia="仿宋_GB2312" w:hAnsi="宋体" w:hint="eastAsia"/>
          <w:sz w:val="32"/>
          <w:szCs w:val="32"/>
          <w:lang w:val="zh-CN"/>
        </w:rPr>
        <w:t>所需的</w:t>
      </w:r>
      <w:r>
        <w:rPr>
          <w:rFonts w:ascii="仿宋_GB2312" w:eastAsia="仿宋_GB2312" w:hAnsi="宋体"/>
          <w:sz w:val="32"/>
          <w:szCs w:val="32"/>
          <w:lang w:val="zh-CN"/>
        </w:rPr>
        <w:t>材料</w:t>
      </w:r>
      <w:r>
        <w:rPr>
          <w:rFonts w:ascii="仿宋_GB2312" w:eastAsia="仿宋_GB2312" w:hAnsi="宋体" w:hint="eastAsia"/>
          <w:sz w:val="32"/>
          <w:szCs w:val="32"/>
          <w:lang w:val="zh-CN"/>
        </w:rPr>
        <w:t>，进行</w:t>
      </w:r>
      <w:r>
        <w:rPr>
          <w:rFonts w:ascii="仿宋_GB2312" w:eastAsia="仿宋_GB2312" w:hAnsi="宋体"/>
          <w:sz w:val="32"/>
          <w:szCs w:val="32"/>
          <w:lang w:val="zh-CN"/>
        </w:rPr>
        <w:t>企业规模和效益核算、研发项目及费用归集、知识产权、</w:t>
      </w:r>
      <w:r>
        <w:rPr>
          <w:rFonts w:ascii="仿宋_GB2312" w:eastAsia="仿宋_GB2312" w:hAnsi="宋体" w:hint="eastAsia"/>
          <w:sz w:val="32"/>
          <w:szCs w:val="32"/>
          <w:lang w:val="zh-CN"/>
        </w:rPr>
        <w:t>研发平台</w:t>
      </w:r>
      <w:r>
        <w:rPr>
          <w:rFonts w:ascii="仿宋_GB2312" w:eastAsia="仿宋_GB2312" w:hAnsi="宋体"/>
          <w:sz w:val="32"/>
          <w:szCs w:val="32"/>
          <w:lang w:val="zh-CN"/>
        </w:rPr>
        <w:t>、标准制定、研究开发组织</w:t>
      </w:r>
      <w:r>
        <w:rPr>
          <w:rFonts w:ascii="仿宋_GB2312" w:eastAsia="仿宋_GB2312" w:hAnsi="宋体" w:hint="eastAsia"/>
          <w:sz w:val="32"/>
          <w:szCs w:val="32"/>
          <w:lang w:val="zh-CN"/>
        </w:rPr>
        <w:t>管理制度</w:t>
      </w:r>
      <w:r>
        <w:rPr>
          <w:rFonts w:ascii="仿宋_GB2312" w:eastAsia="仿宋_GB2312" w:hAnsi="宋体"/>
          <w:sz w:val="32"/>
          <w:szCs w:val="32"/>
          <w:lang w:val="zh-CN"/>
        </w:rPr>
        <w:t>、财务规范性服务</w:t>
      </w:r>
      <w:r>
        <w:rPr>
          <w:rFonts w:ascii="仿宋_GB2312" w:eastAsia="仿宋_GB2312" w:hAnsi="宋体" w:hint="eastAsia"/>
          <w:sz w:val="32"/>
          <w:szCs w:val="32"/>
          <w:lang w:val="zh-CN"/>
        </w:rPr>
        <w:t>。</w:t>
      </w:r>
      <w:r w:rsidR="00AB16FA">
        <w:rPr>
          <w:rFonts w:ascii="仿宋_GB2312" w:eastAsia="仿宋_GB2312" w:hAnsi="宋体" w:hint="eastAsia"/>
          <w:sz w:val="32"/>
          <w:szCs w:val="32"/>
          <w:lang w:val="zh-CN"/>
        </w:rPr>
        <w:t>（规模和效益条件、创新能力指标）</w:t>
      </w:r>
    </w:p>
    <w:p w:rsidR="0030026B" w:rsidRDefault="00AB16FA" w:rsidP="00AB16FA">
      <w:pPr>
        <w:pStyle w:val="af5"/>
        <w:adjustRightInd w:val="0"/>
        <w:snapToGrid w:val="0"/>
        <w:ind w:firstLineChars="0" w:firstLine="0"/>
        <w:jc w:val="center"/>
        <w:rPr>
          <w:rFonts w:ascii="仿宋_GB2312" w:eastAsia="仿宋_GB2312" w:hAnsi="宋体"/>
          <w:sz w:val="32"/>
          <w:szCs w:val="32"/>
          <w:lang w:val="zh-CN"/>
        </w:rPr>
      </w:pPr>
      <w:r>
        <w:rPr>
          <w:rFonts w:ascii="仿宋_GB2312" w:eastAsia="仿宋_GB2312" w:hAnsi="宋体"/>
          <w:noProof/>
          <w:sz w:val="32"/>
          <w:szCs w:val="32"/>
        </w:rPr>
        <w:drawing>
          <wp:inline distT="0" distB="0" distL="0" distR="0">
            <wp:extent cx="5483253" cy="5177513"/>
            <wp:effectExtent l="19050" t="0" r="3147" b="0"/>
            <wp:docPr id="6" name="图片 1" descr="C:\Users\ADMINI~1\AppData\Local\Temp\WeChat Files\b4d12cefdc24b748102ca3933924e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b4d12cefdc24b748102ca3933924ebd.png"/>
                    <pic:cNvPicPr>
                      <a:picLocks noChangeAspect="1" noChangeArrowheads="1"/>
                    </pic:cNvPicPr>
                  </pic:nvPicPr>
                  <pic:blipFill>
                    <a:blip r:embed="rId12" cstate="print"/>
                    <a:srcRect/>
                    <a:stretch>
                      <a:fillRect/>
                    </a:stretch>
                  </pic:blipFill>
                  <pic:spPr bwMode="auto">
                    <a:xfrm>
                      <a:off x="0" y="0"/>
                      <a:ext cx="5481337" cy="5175704"/>
                    </a:xfrm>
                    <a:prstGeom prst="rect">
                      <a:avLst/>
                    </a:prstGeom>
                    <a:noFill/>
                    <a:ln w="9525">
                      <a:noFill/>
                      <a:miter lim="800000"/>
                      <a:headEnd/>
                      <a:tailEnd/>
                    </a:ln>
                  </pic:spPr>
                </pic:pic>
              </a:graphicData>
            </a:graphic>
          </wp:inline>
        </w:drawing>
      </w:r>
    </w:p>
    <w:p w:rsidR="0030026B" w:rsidRDefault="009129C8">
      <w:pPr>
        <w:adjustRightInd w:val="0"/>
        <w:snapToGrid w:val="0"/>
        <w:spacing w:line="560" w:lineRule="exact"/>
        <w:ind w:firstLineChars="200" w:firstLine="643"/>
        <w:rPr>
          <w:rFonts w:ascii="仿宋_GB2312" w:eastAsia="仿宋_GB2312" w:hAnsi="宋体"/>
          <w:sz w:val="32"/>
          <w:szCs w:val="32"/>
        </w:rPr>
      </w:pPr>
      <w:r>
        <w:rPr>
          <w:rFonts w:ascii="楷体" w:eastAsia="楷体" w:hAnsi="楷体" w:cs="仿宋_GB2312"/>
          <w:b/>
          <w:noProof/>
          <w:sz w:val="32"/>
          <w:szCs w:val="32"/>
        </w:rPr>
        <w:lastRenderedPageBreak/>
        <w:drawing>
          <wp:anchor distT="0" distB="0" distL="114300" distR="114300" simplePos="0" relativeHeight="251660288" behindDoc="1" locked="0" layoutInCell="1" allowOverlap="1">
            <wp:simplePos x="0" y="0"/>
            <wp:positionH relativeFrom="margin">
              <wp:align>center</wp:align>
            </wp:positionH>
            <wp:positionV relativeFrom="paragraph">
              <wp:posOffset>64770</wp:posOffset>
            </wp:positionV>
            <wp:extent cx="5067300" cy="3787140"/>
            <wp:effectExtent l="19050" t="0" r="0" b="0"/>
            <wp:wrapTight wrapText="bothSides">
              <wp:wrapPolygon edited="0">
                <wp:start x="-81" y="0"/>
                <wp:lineTo x="-81" y="21513"/>
                <wp:lineTo x="21600" y="21513"/>
                <wp:lineTo x="21600" y="0"/>
                <wp:lineTo x="-81" y="0"/>
              </wp:wrapPolygon>
            </wp:wrapTight>
            <wp:docPr id="2" name="图片 2" descr="C:\Users\ADMINI~1\AppData\Local\Temp\WeChat Files\6ebffe5b5e2f9c697524fd3d705eb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6ebffe5b5e2f9c697524fd3d705eb15.png"/>
                    <pic:cNvPicPr>
                      <a:picLocks noChangeAspect="1" noChangeArrowheads="1"/>
                    </pic:cNvPicPr>
                  </pic:nvPicPr>
                  <pic:blipFill>
                    <a:blip r:embed="rId1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067300" cy="3787140"/>
                    </a:xfrm>
                    <a:prstGeom prst="rect">
                      <a:avLst/>
                    </a:prstGeom>
                    <a:noFill/>
                    <a:ln>
                      <a:noFill/>
                    </a:ln>
                  </pic:spPr>
                </pic:pic>
              </a:graphicData>
            </a:graphic>
          </wp:anchor>
        </w:drawing>
      </w:r>
      <w:r>
        <w:rPr>
          <w:rFonts w:ascii="楷体" w:eastAsia="楷体" w:hAnsi="楷体" w:cs="仿宋_GB2312" w:hint="eastAsia"/>
          <w:b/>
          <w:sz w:val="32"/>
          <w:szCs w:val="32"/>
        </w:rPr>
        <w:t>（五）服务评价</w:t>
      </w:r>
      <w:r>
        <w:rPr>
          <w:rFonts w:ascii="楷体" w:eastAsia="楷体" w:hAnsi="楷体" w:cs="仿宋_GB2312"/>
          <w:b/>
          <w:sz w:val="32"/>
          <w:szCs w:val="32"/>
        </w:rPr>
        <w:t>和改进</w:t>
      </w:r>
    </w:p>
    <w:p w:rsidR="0030026B" w:rsidRDefault="009129C8">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主要包括</w:t>
      </w:r>
      <w:r>
        <w:rPr>
          <w:rFonts w:ascii="仿宋_GB2312" w:eastAsia="仿宋_GB2312" w:hAnsi="宋体"/>
          <w:sz w:val="32"/>
          <w:szCs w:val="32"/>
        </w:rPr>
        <w:t>对服务投诉</w:t>
      </w:r>
      <w:r>
        <w:rPr>
          <w:rFonts w:ascii="仿宋_GB2312" w:eastAsia="仿宋_GB2312" w:hAnsi="宋体" w:hint="eastAsia"/>
          <w:sz w:val="32"/>
          <w:szCs w:val="32"/>
        </w:rPr>
        <w:t>的处理和</w:t>
      </w:r>
      <w:r>
        <w:rPr>
          <w:rFonts w:ascii="仿宋_GB2312" w:eastAsia="仿宋_GB2312" w:hAnsi="宋体"/>
          <w:sz w:val="32"/>
          <w:szCs w:val="32"/>
        </w:rPr>
        <w:t>服务改进，</w:t>
      </w:r>
      <w:r>
        <w:rPr>
          <w:rFonts w:ascii="仿宋_GB2312" w:eastAsia="仿宋_GB2312" w:hAnsi="宋体" w:hint="eastAsia"/>
          <w:sz w:val="32"/>
          <w:szCs w:val="32"/>
        </w:rPr>
        <w:t>对客户的投诉应及时有效的予以处理。对有效的投诉进行记录，调查和分析原因，采取措施加以处理，并向客户反馈处理结果，及时</w:t>
      </w:r>
      <w:r>
        <w:rPr>
          <w:rFonts w:ascii="仿宋_GB2312" w:eastAsia="仿宋_GB2312" w:hAnsi="宋体"/>
          <w:sz w:val="32"/>
          <w:szCs w:val="32"/>
        </w:rPr>
        <w:t>改进</w:t>
      </w:r>
      <w:r>
        <w:rPr>
          <w:rFonts w:ascii="仿宋_GB2312" w:eastAsia="仿宋_GB2312" w:hAnsi="宋体" w:hint="eastAsia"/>
          <w:sz w:val="32"/>
          <w:szCs w:val="32"/>
        </w:rPr>
        <w:t>防止已经改进的不合格事项再次出现。</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bCs/>
          <w:sz w:val="32"/>
          <w:szCs w:val="32"/>
        </w:rPr>
        <w:t>、</w:t>
      </w:r>
      <w:r>
        <w:rPr>
          <w:rFonts w:ascii="黑体" w:eastAsia="黑体" w:hAnsi="黑体" w:cs="黑体" w:hint="eastAsia"/>
          <w:bCs/>
          <w:sz w:val="32"/>
          <w:szCs w:val="32"/>
        </w:rPr>
        <w:t>国内外同类标准制修订情况及与法律法规、强制性标准关系</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经查阅，未</w:t>
      </w:r>
      <w:r>
        <w:rPr>
          <w:rFonts w:ascii="仿宋_GB2312" w:eastAsia="仿宋_GB2312" w:hAnsi="宋体"/>
          <w:sz w:val="32"/>
          <w:szCs w:val="32"/>
        </w:rPr>
        <w:t>制定有</w:t>
      </w:r>
      <w:r>
        <w:rPr>
          <w:rFonts w:ascii="仿宋_GB2312" w:eastAsia="仿宋_GB2312" w:hAnsi="宋体" w:hint="eastAsia"/>
          <w:sz w:val="32"/>
          <w:szCs w:val="32"/>
        </w:rPr>
        <w:t>与瞪羚企业培育服务有关的国家标准、行业标准、广西地方标准和团体标准。</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lang w:val="zh-CN"/>
        </w:rPr>
        <w:t>本标准的内容与现行的法律、法规及强制性标准无冲突，标准的编写符合</w:t>
      </w:r>
      <w:r>
        <w:rPr>
          <w:rFonts w:ascii="仿宋_GB2312" w:eastAsia="仿宋_GB2312" w:hAnsi="宋体" w:hint="eastAsia"/>
          <w:sz w:val="32"/>
          <w:szCs w:val="32"/>
        </w:rPr>
        <w:t>GB/T 1.1-2020的要求。</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本标准研制过程中无重大分歧意见。</w:t>
      </w:r>
    </w:p>
    <w:p w:rsidR="0030026B" w:rsidRDefault="009129C8" w:rsidP="00D73C75">
      <w:pPr>
        <w:adjustRightInd w:val="0"/>
        <w:snapToGrid w:val="0"/>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bCs/>
          <w:sz w:val="32"/>
          <w:szCs w:val="32"/>
        </w:rPr>
        <w:t>、自我承诺</w:t>
      </w:r>
    </w:p>
    <w:p w:rsidR="0030026B" w:rsidRDefault="009129C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本标准内容与各项指标不低于国家强制性标准、推荐性国家标准和行业标准。</w:t>
      </w:r>
    </w:p>
    <w:p w:rsidR="0030026B" w:rsidRDefault="0030026B">
      <w:pPr>
        <w:spacing w:line="560" w:lineRule="exact"/>
        <w:rPr>
          <w:rFonts w:ascii="仿宋_GB2312" w:eastAsia="仿宋_GB2312" w:hAnsi="宋体"/>
          <w:sz w:val="32"/>
          <w:szCs w:val="32"/>
          <w:lang w:val="zh-CN"/>
        </w:rPr>
      </w:pPr>
    </w:p>
    <w:p w:rsidR="0030026B" w:rsidRDefault="009129C8">
      <w:pPr>
        <w:spacing w:line="560" w:lineRule="exact"/>
        <w:ind w:firstLineChars="200" w:firstLine="640"/>
        <w:jc w:val="right"/>
        <w:outlineLvl w:val="0"/>
        <w:rPr>
          <w:rFonts w:ascii="仿宋_GB2312" w:eastAsia="仿宋_GB2312" w:hAnsi="宋体"/>
          <w:sz w:val="32"/>
          <w:szCs w:val="32"/>
          <w:lang w:val="zh-CN"/>
        </w:rPr>
      </w:pPr>
      <w:r>
        <w:rPr>
          <w:rFonts w:ascii="仿宋_GB2312" w:eastAsia="仿宋_GB2312" w:hAnsi="宋体" w:hint="eastAsia"/>
          <w:sz w:val="32"/>
          <w:szCs w:val="32"/>
          <w:lang w:val="zh-CN"/>
        </w:rPr>
        <w:t>团体标准《瞪羚企业培育服务规范》</w:t>
      </w:r>
    </w:p>
    <w:p w:rsidR="0030026B" w:rsidRDefault="009129C8">
      <w:pPr>
        <w:spacing w:line="560" w:lineRule="exact"/>
        <w:ind w:firstLineChars="1850" w:firstLine="5920"/>
        <w:jc w:val="right"/>
        <w:rPr>
          <w:rFonts w:ascii="仿宋_GB2312" w:eastAsia="仿宋_GB2312" w:hAnsi="宋体"/>
          <w:sz w:val="32"/>
          <w:szCs w:val="32"/>
          <w:lang w:val="zh-CN"/>
        </w:rPr>
      </w:pPr>
      <w:r>
        <w:rPr>
          <w:rFonts w:ascii="仿宋_GB2312" w:eastAsia="仿宋_GB2312" w:hAnsi="宋体" w:hint="eastAsia"/>
          <w:sz w:val="32"/>
          <w:szCs w:val="32"/>
          <w:lang w:val="zh-CN"/>
        </w:rPr>
        <w:t>标准编制小组</w:t>
      </w:r>
    </w:p>
    <w:p w:rsidR="0030026B" w:rsidRDefault="009129C8">
      <w:pPr>
        <w:spacing w:line="560" w:lineRule="exact"/>
        <w:ind w:firstLineChars="200" w:firstLine="640"/>
        <w:jc w:val="right"/>
        <w:rPr>
          <w:rFonts w:ascii="仿宋_GB2312" w:eastAsia="仿宋_GB2312" w:hAnsi="宋体"/>
          <w:sz w:val="32"/>
          <w:szCs w:val="32"/>
        </w:rPr>
      </w:pPr>
      <w:r>
        <w:rPr>
          <w:rFonts w:ascii="仿宋_GB2312" w:eastAsia="仿宋_GB2312" w:hAnsi="宋体" w:hint="eastAsia"/>
          <w:sz w:val="32"/>
          <w:szCs w:val="32"/>
        </w:rPr>
        <w:t>2022</w:t>
      </w:r>
      <w:r>
        <w:rPr>
          <w:rFonts w:ascii="仿宋_GB2312" w:eastAsia="仿宋_GB2312" w:hAnsi="宋体" w:hint="eastAsia"/>
          <w:sz w:val="32"/>
          <w:szCs w:val="32"/>
          <w:lang w:val="zh-CN"/>
        </w:rPr>
        <w:t>年</w:t>
      </w:r>
      <w:r w:rsidR="00D73C75">
        <w:rPr>
          <w:rFonts w:ascii="仿宋_GB2312" w:eastAsia="仿宋_GB2312" w:hAnsi="宋体" w:hint="eastAsia"/>
          <w:sz w:val="32"/>
          <w:szCs w:val="32"/>
        </w:rPr>
        <w:t>2</w:t>
      </w:r>
      <w:r>
        <w:rPr>
          <w:rFonts w:ascii="仿宋_GB2312" w:eastAsia="仿宋_GB2312" w:hAnsi="宋体" w:hint="eastAsia"/>
          <w:sz w:val="32"/>
          <w:szCs w:val="32"/>
          <w:lang w:val="zh-CN"/>
        </w:rPr>
        <w:t>月</w:t>
      </w:r>
      <w:r w:rsidR="00D73C75">
        <w:rPr>
          <w:rFonts w:ascii="仿宋_GB2312" w:eastAsia="仿宋_GB2312" w:hAnsi="宋体" w:hint="eastAsia"/>
          <w:sz w:val="32"/>
          <w:szCs w:val="32"/>
        </w:rPr>
        <w:t>25</w:t>
      </w:r>
      <w:r>
        <w:rPr>
          <w:rFonts w:ascii="仿宋_GB2312" w:eastAsia="仿宋_GB2312" w:hAnsi="宋体" w:hint="eastAsia"/>
          <w:sz w:val="32"/>
          <w:szCs w:val="32"/>
        </w:rPr>
        <w:t>日</w:t>
      </w:r>
    </w:p>
    <w:p w:rsidR="0030026B" w:rsidRDefault="0030026B">
      <w:pPr>
        <w:spacing w:line="560" w:lineRule="exact"/>
        <w:rPr>
          <w:sz w:val="32"/>
          <w:szCs w:val="32"/>
        </w:rPr>
      </w:pPr>
    </w:p>
    <w:sectPr w:rsidR="0030026B" w:rsidSect="0030026B">
      <w:footerReference w:type="default" r:id="rId14"/>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45C" w:rsidRDefault="00B7045C" w:rsidP="0030026B">
      <w:r>
        <w:separator/>
      </w:r>
    </w:p>
  </w:endnote>
  <w:endnote w:type="continuationSeparator" w:id="0">
    <w:p w:rsidR="00B7045C" w:rsidRDefault="00B7045C" w:rsidP="00300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519794"/>
    </w:sdtPr>
    <w:sdtContent>
      <w:p w:rsidR="0030026B" w:rsidRDefault="00DE0549">
        <w:pPr>
          <w:pStyle w:val="af"/>
          <w:jc w:val="center"/>
        </w:pPr>
        <w:r w:rsidRPr="00CC2C74">
          <w:rPr>
            <w:rFonts w:ascii="宋体" w:hAnsi="宋体"/>
            <w:sz w:val="32"/>
            <w:szCs w:val="32"/>
          </w:rPr>
          <w:fldChar w:fldCharType="begin"/>
        </w:r>
        <w:r w:rsidR="009129C8" w:rsidRPr="00CC2C74">
          <w:rPr>
            <w:rFonts w:ascii="宋体" w:hAnsi="宋体"/>
            <w:sz w:val="32"/>
            <w:szCs w:val="32"/>
          </w:rPr>
          <w:instrText>PAGE   \* MERGEFORMAT</w:instrText>
        </w:r>
        <w:r w:rsidRPr="00CC2C74">
          <w:rPr>
            <w:rFonts w:ascii="宋体" w:hAnsi="宋体"/>
            <w:sz w:val="32"/>
            <w:szCs w:val="32"/>
          </w:rPr>
          <w:fldChar w:fldCharType="separate"/>
        </w:r>
        <w:r w:rsidR="00D73C75" w:rsidRPr="00D73C75">
          <w:rPr>
            <w:rFonts w:ascii="宋体" w:hAnsi="宋体"/>
            <w:noProof/>
            <w:sz w:val="32"/>
            <w:szCs w:val="32"/>
            <w:lang w:val="zh-CN"/>
          </w:rPr>
          <w:t>11</w:t>
        </w:r>
        <w:r w:rsidRPr="00CC2C74">
          <w:rPr>
            <w:rFonts w:ascii="宋体" w:hAnsi="宋体"/>
            <w:sz w:val="32"/>
            <w:szCs w:val="32"/>
          </w:rPr>
          <w:fldChar w:fldCharType="end"/>
        </w:r>
      </w:p>
    </w:sdtContent>
  </w:sdt>
  <w:p w:rsidR="0030026B" w:rsidRDefault="0030026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45C" w:rsidRDefault="00B7045C" w:rsidP="0030026B">
      <w:r>
        <w:separator/>
      </w:r>
    </w:p>
  </w:footnote>
  <w:footnote w:type="continuationSeparator" w:id="0">
    <w:p w:rsidR="00B7045C" w:rsidRDefault="00B7045C" w:rsidP="00300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15DF3220"/>
    <w:multiLevelType w:val="multilevel"/>
    <w:tmpl w:val="15DF3220"/>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74664EEB"/>
    <w:multiLevelType w:val="multilevel"/>
    <w:tmpl w:val="74664EEB"/>
    <w:lvl w:ilvl="0">
      <w:start w:val="1"/>
      <w:numFmt w:val="japaneseCounting"/>
      <w:pStyle w:val="a7"/>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2F40A7A"/>
    <w:rsid w:val="000057F8"/>
    <w:rsid w:val="00007A3B"/>
    <w:rsid w:val="000121BF"/>
    <w:rsid w:val="0001362E"/>
    <w:rsid w:val="00013F4B"/>
    <w:rsid w:val="00026071"/>
    <w:rsid w:val="000357FD"/>
    <w:rsid w:val="00045229"/>
    <w:rsid w:val="000512D3"/>
    <w:rsid w:val="00056E03"/>
    <w:rsid w:val="00057680"/>
    <w:rsid w:val="00060EB2"/>
    <w:rsid w:val="000647D8"/>
    <w:rsid w:val="00074CCC"/>
    <w:rsid w:val="000776DA"/>
    <w:rsid w:val="00080745"/>
    <w:rsid w:val="00085266"/>
    <w:rsid w:val="000874AB"/>
    <w:rsid w:val="000909BA"/>
    <w:rsid w:val="00093F5A"/>
    <w:rsid w:val="00094905"/>
    <w:rsid w:val="00094F6B"/>
    <w:rsid w:val="00096828"/>
    <w:rsid w:val="000A10E6"/>
    <w:rsid w:val="000A38AA"/>
    <w:rsid w:val="000A39DF"/>
    <w:rsid w:val="000B4EB5"/>
    <w:rsid w:val="000B6C0F"/>
    <w:rsid w:val="000B6C8F"/>
    <w:rsid w:val="000C482C"/>
    <w:rsid w:val="000C73B6"/>
    <w:rsid w:val="000D4AA2"/>
    <w:rsid w:val="000D4D34"/>
    <w:rsid w:val="000D75C4"/>
    <w:rsid w:val="000E0033"/>
    <w:rsid w:val="000E1F56"/>
    <w:rsid w:val="000E37F9"/>
    <w:rsid w:val="000F666F"/>
    <w:rsid w:val="001117EC"/>
    <w:rsid w:val="00130F8D"/>
    <w:rsid w:val="00137598"/>
    <w:rsid w:val="001379D8"/>
    <w:rsid w:val="001404BA"/>
    <w:rsid w:val="001441AB"/>
    <w:rsid w:val="00153708"/>
    <w:rsid w:val="001538F1"/>
    <w:rsid w:val="00160605"/>
    <w:rsid w:val="001643A4"/>
    <w:rsid w:val="00166CCD"/>
    <w:rsid w:val="00172B9A"/>
    <w:rsid w:val="00177489"/>
    <w:rsid w:val="00192363"/>
    <w:rsid w:val="00192652"/>
    <w:rsid w:val="001934B9"/>
    <w:rsid w:val="0019577A"/>
    <w:rsid w:val="001B3206"/>
    <w:rsid w:val="001B4658"/>
    <w:rsid w:val="001B4849"/>
    <w:rsid w:val="001C4E94"/>
    <w:rsid w:val="001D20FE"/>
    <w:rsid w:val="001E09C0"/>
    <w:rsid w:val="001E0C5E"/>
    <w:rsid w:val="001E22DF"/>
    <w:rsid w:val="001E31AF"/>
    <w:rsid w:val="001E607F"/>
    <w:rsid w:val="001F2328"/>
    <w:rsid w:val="001F7909"/>
    <w:rsid w:val="00201A81"/>
    <w:rsid w:val="0020340F"/>
    <w:rsid w:val="0020586B"/>
    <w:rsid w:val="00210294"/>
    <w:rsid w:val="002111F4"/>
    <w:rsid w:val="00214B36"/>
    <w:rsid w:val="00216C5F"/>
    <w:rsid w:val="002172C1"/>
    <w:rsid w:val="002219A2"/>
    <w:rsid w:val="00224154"/>
    <w:rsid w:val="002276C5"/>
    <w:rsid w:val="00231022"/>
    <w:rsid w:val="002556C0"/>
    <w:rsid w:val="00263EDC"/>
    <w:rsid w:val="00266580"/>
    <w:rsid w:val="00275D01"/>
    <w:rsid w:val="00285DB4"/>
    <w:rsid w:val="002860EF"/>
    <w:rsid w:val="0029495C"/>
    <w:rsid w:val="002978BA"/>
    <w:rsid w:val="002A1A2A"/>
    <w:rsid w:val="002A4693"/>
    <w:rsid w:val="002B273E"/>
    <w:rsid w:val="002B5A2F"/>
    <w:rsid w:val="002C0D64"/>
    <w:rsid w:val="002C62D2"/>
    <w:rsid w:val="002E078A"/>
    <w:rsid w:val="002E08EB"/>
    <w:rsid w:val="002E26A4"/>
    <w:rsid w:val="002E2F45"/>
    <w:rsid w:val="002E73C7"/>
    <w:rsid w:val="002F4911"/>
    <w:rsid w:val="0030026B"/>
    <w:rsid w:val="00300939"/>
    <w:rsid w:val="0030692C"/>
    <w:rsid w:val="003114F8"/>
    <w:rsid w:val="00316721"/>
    <w:rsid w:val="003213AB"/>
    <w:rsid w:val="00326C84"/>
    <w:rsid w:val="00330246"/>
    <w:rsid w:val="003356FD"/>
    <w:rsid w:val="003369FD"/>
    <w:rsid w:val="00344DCA"/>
    <w:rsid w:val="0034520D"/>
    <w:rsid w:val="0035225A"/>
    <w:rsid w:val="00361BA1"/>
    <w:rsid w:val="00362592"/>
    <w:rsid w:val="00364D16"/>
    <w:rsid w:val="0036618D"/>
    <w:rsid w:val="00370913"/>
    <w:rsid w:val="003717EC"/>
    <w:rsid w:val="00371892"/>
    <w:rsid w:val="00374F05"/>
    <w:rsid w:val="00392581"/>
    <w:rsid w:val="0039281A"/>
    <w:rsid w:val="00395C01"/>
    <w:rsid w:val="00395DE7"/>
    <w:rsid w:val="0039730E"/>
    <w:rsid w:val="003A0880"/>
    <w:rsid w:val="003A5B66"/>
    <w:rsid w:val="003A7559"/>
    <w:rsid w:val="003B1821"/>
    <w:rsid w:val="003C1FC4"/>
    <w:rsid w:val="003C2DE7"/>
    <w:rsid w:val="003C40C9"/>
    <w:rsid w:val="003C5F4B"/>
    <w:rsid w:val="003C75FC"/>
    <w:rsid w:val="003D2CF4"/>
    <w:rsid w:val="003D4CDC"/>
    <w:rsid w:val="003E1857"/>
    <w:rsid w:val="003E3A46"/>
    <w:rsid w:val="003E6378"/>
    <w:rsid w:val="00401A7C"/>
    <w:rsid w:val="00402FE1"/>
    <w:rsid w:val="00403A27"/>
    <w:rsid w:val="00414DF4"/>
    <w:rsid w:val="004152EA"/>
    <w:rsid w:val="0042006E"/>
    <w:rsid w:val="00433889"/>
    <w:rsid w:val="00435AC5"/>
    <w:rsid w:val="00437CD7"/>
    <w:rsid w:val="00446138"/>
    <w:rsid w:val="00446B63"/>
    <w:rsid w:val="0045040B"/>
    <w:rsid w:val="00451F8F"/>
    <w:rsid w:val="00464806"/>
    <w:rsid w:val="0046569D"/>
    <w:rsid w:val="00466A67"/>
    <w:rsid w:val="004711AC"/>
    <w:rsid w:val="0047343A"/>
    <w:rsid w:val="0047535D"/>
    <w:rsid w:val="00480BF1"/>
    <w:rsid w:val="00482E23"/>
    <w:rsid w:val="0048798C"/>
    <w:rsid w:val="0049553A"/>
    <w:rsid w:val="00495824"/>
    <w:rsid w:val="004A13E8"/>
    <w:rsid w:val="004A3694"/>
    <w:rsid w:val="004A74D6"/>
    <w:rsid w:val="004B216E"/>
    <w:rsid w:val="004B317A"/>
    <w:rsid w:val="004B6FA0"/>
    <w:rsid w:val="004C3FD2"/>
    <w:rsid w:val="004C7DEA"/>
    <w:rsid w:val="004D1112"/>
    <w:rsid w:val="004D3EEA"/>
    <w:rsid w:val="004E052C"/>
    <w:rsid w:val="004E34EA"/>
    <w:rsid w:val="004E44D8"/>
    <w:rsid w:val="004E55AB"/>
    <w:rsid w:val="004E5D6B"/>
    <w:rsid w:val="004F628C"/>
    <w:rsid w:val="00503470"/>
    <w:rsid w:val="00505174"/>
    <w:rsid w:val="00522967"/>
    <w:rsid w:val="005261CB"/>
    <w:rsid w:val="0052788B"/>
    <w:rsid w:val="005353A9"/>
    <w:rsid w:val="00537D26"/>
    <w:rsid w:val="005424FE"/>
    <w:rsid w:val="00547792"/>
    <w:rsid w:val="0055275D"/>
    <w:rsid w:val="005566E3"/>
    <w:rsid w:val="00562540"/>
    <w:rsid w:val="00570517"/>
    <w:rsid w:val="0057216B"/>
    <w:rsid w:val="00581C86"/>
    <w:rsid w:val="00585E6A"/>
    <w:rsid w:val="00592480"/>
    <w:rsid w:val="00592D5E"/>
    <w:rsid w:val="005968B3"/>
    <w:rsid w:val="005973A7"/>
    <w:rsid w:val="00597CAF"/>
    <w:rsid w:val="005A4E00"/>
    <w:rsid w:val="005A7AF7"/>
    <w:rsid w:val="005B1C23"/>
    <w:rsid w:val="005B3DD5"/>
    <w:rsid w:val="005B6BA9"/>
    <w:rsid w:val="005C47DF"/>
    <w:rsid w:val="005D150E"/>
    <w:rsid w:val="005D265C"/>
    <w:rsid w:val="005D444C"/>
    <w:rsid w:val="005D7BE4"/>
    <w:rsid w:val="005E1CDE"/>
    <w:rsid w:val="005E4DE7"/>
    <w:rsid w:val="005F18AA"/>
    <w:rsid w:val="005F1BEA"/>
    <w:rsid w:val="005F42B3"/>
    <w:rsid w:val="0060119C"/>
    <w:rsid w:val="00611246"/>
    <w:rsid w:val="00613B4E"/>
    <w:rsid w:val="00613ED1"/>
    <w:rsid w:val="0061745D"/>
    <w:rsid w:val="00626D7F"/>
    <w:rsid w:val="0063207E"/>
    <w:rsid w:val="00634B08"/>
    <w:rsid w:val="00641417"/>
    <w:rsid w:val="006453E2"/>
    <w:rsid w:val="0064699B"/>
    <w:rsid w:val="00653230"/>
    <w:rsid w:val="00661FEE"/>
    <w:rsid w:val="00666ADE"/>
    <w:rsid w:val="006722D3"/>
    <w:rsid w:val="006725EC"/>
    <w:rsid w:val="006978BD"/>
    <w:rsid w:val="006A1978"/>
    <w:rsid w:val="006A5B11"/>
    <w:rsid w:val="006B7A71"/>
    <w:rsid w:val="006C200B"/>
    <w:rsid w:val="006D70EC"/>
    <w:rsid w:val="006D73AF"/>
    <w:rsid w:val="006E2BD2"/>
    <w:rsid w:val="006E2E59"/>
    <w:rsid w:val="006E6ABD"/>
    <w:rsid w:val="006E7197"/>
    <w:rsid w:val="006E725D"/>
    <w:rsid w:val="006F1440"/>
    <w:rsid w:val="006F2CDD"/>
    <w:rsid w:val="0070122B"/>
    <w:rsid w:val="007027FD"/>
    <w:rsid w:val="007040E8"/>
    <w:rsid w:val="0070740B"/>
    <w:rsid w:val="00707437"/>
    <w:rsid w:val="00721EE2"/>
    <w:rsid w:val="00722B65"/>
    <w:rsid w:val="00733A36"/>
    <w:rsid w:val="00734529"/>
    <w:rsid w:val="007452B3"/>
    <w:rsid w:val="007609B8"/>
    <w:rsid w:val="00761881"/>
    <w:rsid w:val="007672F3"/>
    <w:rsid w:val="00781A02"/>
    <w:rsid w:val="00792F27"/>
    <w:rsid w:val="00795213"/>
    <w:rsid w:val="007A20C1"/>
    <w:rsid w:val="007A2869"/>
    <w:rsid w:val="007A5579"/>
    <w:rsid w:val="007A5904"/>
    <w:rsid w:val="007B5CA8"/>
    <w:rsid w:val="007D5F00"/>
    <w:rsid w:val="007E2316"/>
    <w:rsid w:val="007F37EE"/>
    <w:rsid w:val="007F67A8"/>
    <w:rsid w:val="007F78F7"/>
    <w:rsid w:val="00800EA9"/>
    <w:rsid w:val="00803B2B"/>
    <w:rsid w:val="00806849"/>
    <w:rsid w:val="008072A2"/>
    <w:rsid w:val="00811B6A"/>
    <w:rsid w:val="00812919"/>
    <w:rsid w:val="00812F40"/>
    <w:rsid w:val="008321FB"/>
    <w:rsid w:val="00833836"/>
    <w:rsid w:val="0084042F"/>
    <w:rsid w:val="00854529"/>
    <w:rsid w:val="0085556B"/>
    <w:rsid w:val="00892A87"/>
    <w:rsid w:val="00893ACB"/>
    <w:rsid w:val="00895839"/>
    <w:rsid w:val="008A532F"/>
    <w:rsid w:val="008A7C1F"/>
    <w:rsid w:val="008C5B70"/>
    <w:rsid w:val="008C5F41"/>
    <w:rsid w:val="008D28FA"/>
    <w:rsid w:val="008D7526"/>
    <w:rsid w:val="008E0B5B"/>
    <w:rsid w:val="008E1C2A"/>
    <w:rsid w:val="008E2287"/>
    <w:rsid w:val="008F23B6"/>
    <w:rsid w:val="009006EB"/>
    <w:rsid w:val="00904836"/>
    <w:rsid w:val="00906298"/>
    <w:rsid w:val="00906AA1"/>
    <w:rsid w:val="009129C8"/>
    <w:rsid w:val="0092390B"/>
    <w:rsid w:val="009309A7"/>
    <w:rsid w:val="009332A7"/>
    <w:rsid w:val="00940E4F"/>
    <w:rsid w:val="0095139E"/>
    <w:rsid w:val="00954336"/>
    <w:rsid w:val="009630F8"/>
    <w:rsid w:val="00964CC9"/>
    <w:rsid w:val="00966786"/>
    <w:rsid w:val="009674BD"/>
    <w:rsid w:val="00972997"/>
    <w:rsid w:val="00973A9B"/>
    <w:rsid w:val="0097489A"/>
    <w:rsid w:val="00977A6B"/>
    <w:rsid w:val="00980901"/>
    <w:rsid w:val="0098137C"/>
    <w:rsid w:val="00982776"/>
    <w:rsid w:val="00982B8F"/>
    <w:rsid w:val="00986AD3"/>
    <w:rsid w:val="00987678"/>
    <w:rsid w:val="009916B1"/>
    <w:rsid w:val="00994370"/>
    <w:rsid w:val="009B0037"/>
    <w:rsid w:val="009B0913"/>
    <w:rsid w:val="009B169A"/>
    <w:rsid w:val="009B5417"/>
    <w:rsid w:val="009B75B2"/>
    <w:rsid w:val="009B77F5"/>
    <w:rsid w:val="009C049D"/>
    <w:rsid w:val="009C11C1"/>
    <w:rsid w:val="009D6D29"/>
    <w:rsid w:val="009E07EA"/>
    <w:rsid w:val="009E1582"/>
    <w:rsid w:val="009F69DB"/>
    <w:rsid w:val="00A008A7"/>
    <w:rsid w:val="00A11E88"/>
    <w:rsid w:val="00A1288B"/>
    <w:rsid w:val="00A23FE8"/>
    <w:rsid w:val="00A259E3"/>
    <w:rsid w:val="00A32C7C"/>
    <w:rsid w:val="00A3458B"/>
    <w:rsid w:val="00A36782"/>
    <w:rsid w:val="00A36849"/>
    <w:rsid w:val="00A37326"/>
    <w:rsid w:val="00A417F6"/>
    <w:rsid w:val="00A42957"/>
    <w:rsid w:val="00A436FD"/>
    <w:rsid w:val="00A5183D"/>
    <w:rsid w:val="00A6512C"/>
    <w:rsid w:val="00A6647B"/>
    <w:rsid w:val="00A74815"/>
    <w:rsid w:val="00A84488"/>
    <w:rsid w:val="00A84EDB"/>
    <w:rsid w:val="00A859D0"/>
    <w:rsid w:val="00A902F6"/>
    <w:rsid w:val="00A90F2C"/>
    <w:rsid w:val="00A92BE3"/>
    <w:rsid w:val="00A96D05"/>
    <w:rsid w:val="00AA020B"/>
    <w:rsid w:val="00AB16FA"/>
    <w:rsid w:val="00AB1B65"/>
    <w:rsid w:val="00AB2810"/>
    <w:rsid w:val="00AB4B0C"/>
    <w:rsid w:val="00AC2B04"/>
    <w:rsid w:val="00AC2EC0"/>
    <w:rsid w:val="00AC4E45"/>
    <w:rsid w:val="00AD6D77"/>
    <w:rsid w:val="00AE25AA"/>
    <w:rsid w:val="00AE4017"/>
    <w:rsid w:val="00AF6E67"/>
    <w:rsid w:val="00B024D8"/>
    <w:rsid w:val="00B07BF4"/>
    <w:rsid w:val="00B101DE"/>
    <w:rsid w:val="00B14453"/>
    <w:rsid w:val="00B1467A"/>
    <w:rsid w:val="00B2687B"/>
    <w:rsid w:val="00B31C41"/>
    <w:rsid w:val="00B32326"/>
    <w:rsid w:val="00B369AD"/>
    <w:rsid w:val="00B61237"/>
    <w:rsid w:val="00B627A8"/>
    <w:rsid w:val="00B6564B"/>
    <w:rsid w:val="00B67650"/>
    <w:rsid w:val="00B7039F"/>
    <w:rsid w:val="00B7045C"/>
    <w:rsid w:val="00B749A8"/>
    <w:rsid w:val="00B77AF5"/>
    <w:rsid w:val="00B93639"/>
    <w:rsid w:val="00BA054B"/>
    <w:rsid w:val="00BA5404"/>
    <w:rsid w:val="00BA6439"/>
    <w:rsid w:val="00BB398F"/>
    <w:rsid w:val="00BB5DDA"/>
    <w:rsid w:val="00BB76F5"/>
    <w:rsid w:val="00BC030B"/>
    <w:rsid w:val="00BC2C93"/>
    <w:rsid w:val="00BD4DFD"/>
    <w:rsid w:val="00BD6F78"/>
    <w:rsid w:val="00BF1961"/>
    <w:rsid w:val="00BF5B46"/>
    <w:rsid w:val="00C055C6"/>
    <w:rsid w:val="00C14C54"/>
    <w:rsid w:val="00C255FF"/>
    <w:rsid w:val="00C26F6E"/>
    <w:rsid w:val="00C33B1E"/>
    <w:rsid w:val="00C451C2"/>
    <w:rsid w:val="00C46F59"/>
    <w:rsid w:val="00C53598"/>
    <w:rsid w:val="00C61BCC"/>
    <w:rsid w:val="00C709CA"/>
    <w:rsid w:val="00C70C52"/>
    <w:rsid w:val="00C73A20"/>
    <w:rsid w:val="00C827F8"/>
    <w:rsid w:val="00C9265B"/>
    <w:rsid w:val="00C955FD"/>
    <w:rsid w:val="00C95904"/>
    <w:rsid w:val="00C96EC0"/>
    <w:rsid w:val="00CA1F16"/>
    <w:rsid w:val="00CA2AA3"/>
    <w:rsid w:val="00CA41A5"/>
    <w:rsid w:val="00CA5B30"/>
    <w:rsid w:val="00CB7EB8"/>
    <w:rsid w:val="00CC2C74"/>
    <w:rsid w:val="00CC47AC"/>
    <w:rsid w:val="00CC4D3B"/>
    <w:rsid w:val="00CD288F"/>
    <w:rsid w:val="00CD4D3D"/>
    <w:rsid w:val="00CE225A"/>
    <w:rsid w:val="00CF0438"/>
    <w:rsid w:val="00CF2784"/>
    <w:rsid w:val="00CF6533"/>
    <w:rsid w:val="00D00DEF"/>
    <w:rsid w:val="00D0257C"/>
    <w:rsid w:val="00D063E1"/>
    <w:rsid w:val="00D15F71"/>
    <w:rsid w:val="00D24A06"/>
    <w:rsid w:val="00D26CF7"/>
    <w:rsid w:val="00D317D7"/>
    <w:rsid w:val="00D36967"/>
    <w:rsid w:val="00D4074E"/>
    <w:rsid w:val="00D40E63"/>
    <w:rsid w:val="00D4197F"/>
    <w:rsid w:val="00D441ED"/>
    <w:rsid w:val="00D5295D"/>
    <w:rsid w:val="00D556FD"/>
    <w:rsid w:val="00D62B90"/>
    <w:rsid w:val="00D63139"/>
    <w:rsid w:val="00D64197"/>
    <w:rsid w:val="00D65449"/>
    <w:rsid w:val="00D66403"/>
    <w:rsid w:val="00D70F1A"/>
    <w:rsid w:val="00D73C75"/>
    <w:rsid w:val="00D73E8B"/>
    <w:rsid w:val="00D75D3C"/>
    <w:rsid w:val="00D770C9"/>
    <w:rsid w:val="00D802E2"/>
    <w:rsid w:val="00D82499"/>
    <w:rsid w:val="00D8255C"/>
    <w:rsid w:val="00D85AF4"/>
    <w:rsid w:val="00D8739D"/>
    <w:rsid w:val="00D90BE8"/>
    <w:rsid w:val="00D94E61"/>
    <w:rsid w:val="00DA4146"/>
    <w:rsid w:val="00DA7B3E"/>
    <w:rsid w:val="00DB220F"/>
    <w:rsid w:val="00DC096C"/>
    <w:rsid w:val="00DC111F"/>
    <w:rsid w:val="00DC1721"/>
    <w:rsid w:val="00DD0F41"/>
    <w:rsid w:val="00DE0549"/>
    <w:rsid w:val="00DE2833"/>
    <w:rsid w:val="00DF671D"/>
    <w:rsid w:val="00E05C37"/>
    <w:rsid w:val="00E07106"/>
    <w:rsid w:val="00E10161"/>
    <w:rsid w:val="00E1662A"/>
    <w:rsid w:val="00E20A22"/>
    <w:rsid w:val="00E34CA8"/>
    <w:rsid w:val="00E3633C"/>
    <w:rsid w:val="00E41663"/>
    <w:rsid w:val="00E43B41"/>
    <w:rsid w:val="00E54505"/>
    <w:rsid w:val="00E60D19"/>
    <w:rsid w:val="00E62F29"/>
    <w:rsid w:val="00E6364A"/>
    <w:rsid w:val="00E643E8"/>
    <w:rsid w:val="00E64DE5"/>
    <w:rsid w:val="00E75402"/>
    <w:rsid w:val="00E83BD4"/>
    <w:rsid w:val="00E915D3"/>
    <w:rsid w:val="00E92A02"/>
    <w:rsid w:val="00E92A45"/>
    <w:rsid w:val="00E933D9"/>
    <w:rsid w:val="00E93758"/>
    <w:rsid w:val="00E953C2"/>
    <w:rsid w:val="00EB0332"/>
    <w:rsid w:val="00EB1EE2"/>
    <w:rsid w:val="00EC3B6C"/>
    <w:rsid w:val="00EC5DF7"/>
    <w:rsid w:val="00EC65F7"/>
    <w:rsid w:val="00ED018B"/>
    <w:rsid w:val="00ED5F07"/>
    <w:rsid w:val="00EE08EB"/>
    <w:rsid w:val="00EE42BB"/>
    <w:rsid w:val="00EE51E0"/>
    <w:rsid w:val="00EE7D8E"/>
    <w:rsid w:val="00EF0605"/>
    <w:rsid w:val="00EF2897"/>
    <w:rsid w:val="00EF372E"/>
    <w:rsid w:val="00EF3FA3"/>
    <w:rsid w:val="00EF43AC"/>
    <w:rsid w:val="00EF5986"/>
    <w:rsid w:val="00F14D9D"/>
    <w:rsid w:val="00F14FBF"/>
    <w:rsid w:val="00F165E0"/>
    <w:rsid w:val="00F22D23"/>
    <w:rsid w:val="00F23356"/>
    <w:rsid w:val="00F26893"/>
    <w:rsid w:val="00F26A8B"/>
    <w:rsid w:val="00F33457"/>
    <w:rsid w:val="00F340BE"/>
    <w:rsid w:val="00F343D6"/>
    <w:rsid w:val="00F4639D"/>
    <w:rsid w:val="00F51113"/>
    <w:rsid w:val="00F51F15"/>
    <w:rsid w:val="00F62630"/>
    <w:rsid w:val="00F6264F"/>
    <w:rsid w:val="00F62D49"/>
    <w:rsid w:val="00F63124"/>
    <w:rsid w:val="00F63F6C"/>
    <w:rsid w:val="00F66419"/>
    <w:rsid w:val="00F66758"/>
    <w:rsid w:val="00F70395"/>
    <w:rsid w:val="00F70BB2"/>
    <w:rsid w:val="00F73797"/>
    <w:rsid w:val="00F81084"/>
    <w:rsid w:val="00F829D1"/>
    <w:rsid w:val="00F909A0"/>
    <w:rsid w:val="00F95827"/>
    <w:rsid w:val="00F977D5"/>
    <w:rsid w:val="00FB0950"/>
    <w:rsid w:val="00FB142D"/>
    <w:rsid w:val="00FC188F"/>
    <w:rsid w:val="00FC1B41"/>
    <w:rsid w:val="00FE0893"/>
    <w:rsid w:val="00FE40D9"/>
    <w:rsid w:val="00FE658D"/>
    <w:rsid w:val="00FF5737"/>
    <w:rsid w:val="00FF58FD"/>
    <w:rsid w:val="00FF6881"/>
    <w:rsid w:val="012073A2"/>
    <w:rsid w:val="01973053"/>
    <w:rsid w:val="01CE7107"/>
    <w:rsid w:val="02033A02"/>
    <w:rsid w:val="027E74CA"/>
    <w:rsid w:val="02A0020D"/>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0B7222A"/>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0237E4"/>
    <w:rsid w:val="4A8A1CA2"/>
    <w:rsid w:val="4B011028"/>
    <w:rsid w:val="4BF62B9B"/>
    <w:rsid w:val="4C661C38"/>
    <w:rsid w:val="4C68330C"/>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721153"/>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ABB4BBF"/>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024F87"/>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9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30026B"/>
    <w:pPr>
      <w:widowControl w:val="0"/>
      <w:jc w:val="both"/>
    </w:pPr>
    <w:rPr>
      <w:kern w:val="2"/>
      <w:sz w:val="21"/>
      <w:szCs w:val="24"/>
    </w:rPr>
  </w:style>
  <w:style w:type="paragraph" w:styleId="3">
    <w:name w:val="heading 3"/>
    <w:basedOn w:val="a8"/>
    <w:next w:val="a8"/>
    <w:semiHidden/>
    <w:unhideWhenUsed/>
    <w:qFormat/>
    <w:rsid w:val="0030026B"/>
    <w:pPr>
      <w:spacing w:beforeAutospacing="1" w:afterAutospacing="1"/>
      <w:jc w:val="left"/>
      <w:outlineLvl w:val="2"/>
    </w:pPr>
    <w:rPr>
      <w:rFonts w:ascii="宋体" w:hAnsi="宋体" w:hint="eastAsia"/>
      <w:b/>
      <w:kern w:val="0"/>
      <w:sz w:val="27"/>
      <w:szCs w:val="27"/>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Document Map"/>
    <w:basedOn w:val="a8"/>
    <w:link w:val="Char"/>
    <w:qFormat/>
    <w:rsid w:val="0030026B"/>
    <w:rPr>
      <w:rFonts w:ascii="宋体"/>
      <w:sz w:val="18"/>
      <w:szCs w:val="18"/>
    </w:rPr>
  </w:style>
  <w:style w:type="paragraph" w:styleId="ad">
    <w:name w:val="Body Text"/>
    <w:basedOn w:val="a8"/>
    <w:link w:val="Char0"/>
    <w:semiHidden/>
    <w:unhideWhenUsed/>
    <w:qFormat/>
    <w:rsid w:val="0030026B"/>
    <w:pPr>
      <w:spacing w:after="120"/>
    </w:pPr>
  </w:style>
  <w:style w:type="paragraph" w:styleId="ae">
    <w:name w:val="Balloon Text"/>
    <w:basedOn w:val="a8"/>
    <w:link w:val="Char1"/>
    <w:qFormat/>
    <w:rsid w:val="0030026B"/>
    <w:rPr>
      <w:sz w:val="18"/>
      <w:szCs w:val="18"/>
    </w:rPr>
  </w:style>
  <w:style w:type="paragraph" w:styleId="af">
    <w:name w:val="footer"/>
    <w:basedOn w:val="a8"/>
    <w:link w:val="Char2"/>
    <w:uiPriority w:val="99"/>
    <w:qFormat/>
    <w:rsid w:val="0030026B"/>
    <w:pPr>
      <w:tabs>
        <w:tab w:val="center" w:pos="4153"/>
        <w:tab w:val="right" w:pos="8306"/>
      </w:tabs>
      <w:snapToGrid w:val="0"/>
      <w:jc w:val="left"/>
    </w:pPr>
    <w:rPr>
      <w:sz w:val="18"/>
      <w:szCs w:val="18"/>
    </w:rPr>
  </w:style>
  <w:style w:type="paragraph" w:styleId="af0">
    <w:name w:val="header"/>
    <w:basedOn w:val="a8"/>
    <w:link w:val="Char3"/>
    <w:qFormat/>
    <w:rsid w:val="0030026B"/>
    <w:pPr>
      <w:pBdr>
        <w:bottom w:val="single" w:sz="6" w:space="1" w:color="auto"/>
      </w:pBdr>
      <w:tabs>
        <w:tab w:val="center" w:pos="4153"/>
        <w:tab w:val="right" w:pos="8306"/>
      </w:tabs>
      <w:snapToGrid w:val="0"/>
      <w:jc w:val="center"/>
    </w:pPr>
    <w:rPr>
      <w:sz w:val="18"/>
      <w:szCs w:val="18"/>
    </w:rPr>
  </w:style>
  <w:style w:type="paragraph" w:styleId="af1">
    <w:name w:val="Normal (Web)"/>
    <w:basedOn w:val="a8"/>
    <w:uiPriority w:val="99"/>
    <w:unhideWhenUsed/>
    <w:qFormat/>
    <w:rsid w:val="0030026B"/>
    <w:pPr>
      <w:widowControl/>
      <w:spacing w:before="100" w:beforeAutospacing="1" w:after="100" w:afterAutospacing="1"/>
      <w:jc w:val="left"/>
    </w:pPr>
    <w:rPr>
      <w:rFonts w:ascii="宋体" w:hAnsi="宋体" w:cs="宋体"/>
      <w:kern w:val="0"/>
      <w:sz w:val="24"/>
    </w:rPr>
  </w:style>
  <w:style w:type="table" w:styleId="af2">
    <w:name w:val="Table Grid"/>
    <w:basedOn w:val="aa"/>
    <w:uiPriority w:val="99"/>
    <w:unhideWhenUsed/>
    <w:qFormat/>
    <w:rsid w:val="0030026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9"/>
    <w:qFormat/>
    <w:rsid w:val="0030026B"/>
    <w:rPr>
      <w:b/>
    </w:rPr>
  </w:style>
  <w:style w:type="character" w:styleId="af4">
    <w:name w:val="Hyperlink"/>
    <w:basedOn w:val="a9"/>
    <w:unhideWhenUsed/>
    <w:qFormat/>
    <w:rsid w:val="0030026B"/>
    <w:rPr>
      <w:color w:val="0563C1" w:themeColor="hyperlink"/>
      <w:u w:val="single"/>
    </w:rPr>
  </w:style>
  <w:style w:type="paragraph" w:styleId="af5">
    <w:name w:val="List Paragraph"/>
    <w:basedOn w:val="a8"/>
    <w:uiPriority w:val="34"/>
    <w:qFormat/>
    <w:rsid w:val="0030026B"/>
    <w:pPr>
      <w:ind w:firstLineChars="200" w:firstLine="420"/>
    </w:pPr>
    <w:rPr>
      <w:szCs w:val="22"/>
    </w:rPr>
  </w:style>
  <w:style w:type="paragraph" w:customStyle="1" w:styleId="af6">
    <w:name w:val="标准文件_段"/>
    <w:link w:val="Char4"/>
    <w:qFormat/>
    <w:rsid w:val="0030026B"/>
    <w:pPr>
      <w:autoSpaceDE w:val="0"/>
      <w:autoSpaceDN w:val="0"/>
      <w:ind w:firstLineChars="200" w:firstLine="200"/>
      <w:jc w:val="both"/>
    </w:pPr>
    <w:rPr>
      <w:rFonts w:ascii="宋体"/>
      <w:sz w:val="21"/>
    </w:rPr>
  </w:style>
  <w:style w:type="character" w:customStyle="1" w:styleId="Char4">
    <w:name w:val="标准文件_段 Char"/>
    <w:link w:val="af6"/>
    <w:qFormat/>
    <w:rsid w:val="0030026B"/>
    <w:rPr>
      <w:rFonts w:ascii="宋体"/>
      <w:sz w:val="21"/>
    </w:rPr>
  </w:style>
  <w:style w:type="character" w:customStyle="1" w:styleId="Char3">
    <w:name w:val="页眉 Char"/>
    <w:basedOn w:val="a9"/>
    <w:link w:val="af0"/>
    <w:qFormat/>
    <w:rsid w:val="0030026B"/>
    <w:rPr>
      <w:rFonts w:ascii="Times New Roman" w:hAnsi="Times New Roman"/>
      <w:kern w:val="2"/>
      <w:sz w:val="18"/>
      <w:szCs w:val="18"/>
    </w:rPr>
  </w:style>
  <w:style w:type="character" w:customStyle="1" w:styleId="Char2">
    <w:name w:val="页脚 Char"/>
    <w:basedOn w:val="a9"/>
    <w:link w:val="af"/>
    <w:uiPriority w:val="99"/>
    <w:qFormat/>
    <w:rsid w:val="0030026B"/>
    <w:rPr>
      <w:rFonts w:ascii="Times New Roman" w:hAnsi="Times New Roman"/>
      <w:kern w:val="2"/>
      <w:sz w:val="18"/>
      <w:szCs w:val="18"/>
    </w:rPr>
  </w:style>
  <w:style w:type="character" w:customStyle="1" w:styleId="Char1">
    <w:name w:val="批注框文本 Char"/>
    <w:basedOn w:val="a9"/>
    <w:link w:val="ae"/>
    <w:qFormat/>
    <w:rsid w:val="0030026B"/>
    <w:rPr>
      <w:rFonts w:ascii="Times New Roman" w:hAnsi="Times New Roman"/>
      <w:kern w:val="2"/>
      <w:sz w:val="18"/>
      <w:szCs w:val="18"/>
    </w:rPr>
  </w:style>
  <w:style w:type="character" w:customStyle="1" w:styleId="Char">
    <w:name w:val="文档结构图 Char"/>
    <w:basedOn w:val="a9"/>
    <w:link w:val="ac"/>
    <w:qFormat/>
    <w:rsid w:val="0030026B"/>
    <w:rPr>
      <w:rFonts w:ascii="宋体"/>
      <w:kern w:val="2"/>
      <w:sz w:val="18"/>
      <w:szCs w:val="18"/>
    </w:rPr>
  </w:style>
  <w:style w:type="paragraph" w:customStyle="1" w:styleId="a3">
    <w:name w:val="标准文件_二级条标题"/>
    <w:next w:val="af6"/>
    <w:qFormat/>
    <w:rsid w:val="0030026B"/>
    <w:pPr>
      <w:widowControl w:val="0"/>
      <w:numPr>
        <w:ilvl w:val="3"/>
        <w:numId w:val="1"/>
      </w:numPr>
      <w:spacing w:beforeLines="50" w:afterLines="50"/>
      <w:jc w:val="both"/>
      <w:outlineLvl w:val="2"/>
    </w:pPr>
    <w:rPr>
      <w:rFonts w:ascii="黑体" w:eastAsia="黑体"/>
      <w:sz w:val="21"/>
    </w:rPr>
  </w:style>
  <w:style w:type="paragraph" w:customStyle="1" w:styleId="a4">
    <w:name w:val="标准文件_三级条标题"/>
    <w:basedOn w:val="a3"/>
    <w:next w:val="af6"/>
    <w:qFormat/>
    <w:rsid w:val="0030026B"/>
    <w:pPr>
      <w:widowControl/>
      <w:numPr>
        <w:ilvl w:val="4"/>
      </w:numPr>
      <w:outlineLvl w:val="3"/>
    </w:pPr>
  </w:style>
  <w:style w:type="paragraph" w:customStyle="1" w:styleId="a5">
    <w:name w:val="标准文件_四级条标题"/>
    <w:next w:val="af6"/>
    <w:qFormat/>
    <w:rsid w:val="0030026B"/>
    <w:pPr>
      <w:widowControl w:val="0"/>
      <w:numPr>
        <w:ilvl w:val="5"/>
        <w:numId w:val="1"/>
      </w:numPr>
      <w:spacing w:beforeLines="50" w:afterLines="50"/>
      <w:jc w:val="both"/>
      <w:outlineLvl w:val="4"/>
    </w:pPr>
    <w:rPr>
      <w:rFonts w:ascii="黑体" w:eastAsia="黑体"/>
      <w:sz w:val="21"/>
    </w:rPr>
  </w:style>
  <w:style w:type="paragraph" w:customStyle="1" w:styleId="a6">
    <w:name w:val="标准文件_五级条标题"/>
    <w:next w:val="af6"/>
    <w:qFormat/>
    <w:rsid w:val="0030026B"/>
    <w:pPr>
      <w:widowControl w:val="0"/>
      <w:numPr>
        <w:ilvl w:val="6"/>
        <w:numId w:val="1"/>
      </w:numPr>
      <w:spacing w:beforeLines="50" w:afterLines="50"/>
      <w:jc w:val="both"/>
      <w:outlineLvl w:val="5"/>
    </w:pPr>
    <w:rPr>
      <w:rFonts w:ascii="黑体" w:eastAsia="黑体"/>
      <w:sz w:val="21"/>
    </w:rPr>
  </w:style>
  <w:style w:type="paragraph" w:customStyle="1" w:styleId="a1">
    <w:name w:val="标准文件_章标题"/>
    <w:next w:val="af6"/>
    <w:qFormat/>
    <w:rsid w:val="0030026B"/>
    <w:pPr>
      <w:numPr>
        <w:ilvl w:val="1"/>
        <w:numId w:val="1"/>
      </w:numPr>
      <w:spacing w:beforeLines="100" w:afterLines="100"/>
      <w:jc w:val="both"/>
      <w:outlineLvl w:val="0"/>
    </w:pPr>
    <w:rPr>
      <w:rFonts w:ascii="黑体" w:eastAsia="黑体"/>
      <w:sz w:val="21"/>
    </w:rPr>
  </w:style>
  <w:style w:type="paragraph" w:customStyle="1" w:styleId="a2">
    <w:name w:val="标准文件_一级条标题"/>
    <w:basedOn w:val="a1"/>
    <w:next w:val="af6"/>
    <w:qFormat/>
    <w:rsid w:val="0030026B"/>
    <w:pPr>
      <w:numPr>
        <w:ilvl w:val="2"/>
      </w:numPr>
      <w:spacing w:beforeLines="50" w:afterLines="50"/>
      <w:outlineLvl w:val="1"/>
    </w:pPr>
  </w:style>
  <w:style w:type="paragraph" w:customStyle="1" w:styleId="a0">
    <w:name w:val="前言标题"/>
    <w:next w:val="a8"/>
    <w:qFormat/>
    <w:rsid w:val="0030026B"/>
    <w:pPr>
      <w:numPr>
        <w:numId w:val="1"/>
      </w:numPr>
      <w:shd w:val="clear" w:color="FFFFFF" w:fill="FFFFFF"/>
      <w:spacing w:before="540" w:after="600"/>
      <w:jc w:val="center"/>
      <w:outlineLvl w:val="0"/>
    </w:pPr>
    <w:rPr>
      <w:rFonts w:ascii="黑体" w:eastAsia="黑体"/>
      <w:sz w:val="32"/>
    </w:rPr>
  </w:style>
  <w:style w:type="paragraph" w:customStyle="1" w:styleId="a">
    <w:name w:val="标准文件_术语条一"/>
    <w:basedOn w:val="a8"/>
    <w:next w:val="af6"/>
    <w:qFormat/>
    <w:rsid w:val="0030026B"/>
    <w:pPr>
      <w:widowControl/>
      <w:numPr>
        <w:ilvl w:val="2"/>
        <w:numId w:val="2"/>
      </w:numPr>
    </w:pPr>
    <w:rPr>
      <w:rFonts w:ascii="宋体"/>
      <w:kern w:val="0"/>
      <w:szCs w:val="20"/>
    </w:rPr>
  </w:style>
  <w:style w:type="paragraph" w:customStyle="1" w:styleId="a7">
    <w:name w:val="列项——（一级）"/>
    <w:qFormat/>
    <w:rsid w:val="0030026B"/>
    <w:pPr>
      <w:widowControl w:val="0"/>
      <w:numPr>
        <w:numId w:val="3"/>
      </w:numPr>
      <w:jc w:val="both"/>
    </w:pPr>
    <w:rPr>
      <w:rFonts w:ascii="宋体"/>
      <w:sz w:val="21"/>
    </w:rPr>
  </w:style>
  <w:style w:type="character" w:customStyle="1" w:styleId="Char0">
    <w:name w:val="正文文本 Char"/>
    <w:basedOn w:val="a9"/>
    <w:link w:val="ad"/>
    <w:semiHidden/>
    <w:qFormat/>
    <w:rsid w:val="0030026B"/>
    <w:rPr>
      <w:kern w:val="2"/>
      <w:sz w:val="21"/>
      <w:szCs w:val="24"/>
    </w:rPr>
  </w:style>
  <w:style w:type="character" w:customStyle="1" w:styleId="font01">
    <w:name w:val="font01"/>
    <w:basedOn w:val="a9"/>
    <w:qFormat/>
    <w:rsid w:val="0030026B"/>
    <w:rPr>
      <w:rFonts w:ascii="宋体" w:eastAsia="宋体" w:hAnsi="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A7EBB-34C9-4499-8842-A1AF4245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686</Words>
  <Characters>3914</Characters>
  <Application>Microsoft Office Word</Application>
  <DocSecurity>0</DocSecurity>
  <Lines>32</Lines>
  <Paragraphs>9</Paragraphs>
  <ScaleCrop>false</ScaleCrop>
  <Company>微软中国</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342</cp:revision>
  <dcterms:created xsi:type="dcterms:W3CDTF">2021-11-27T03:59:00Z</dcterms:created>
  <dcterms:modified xsi:type="dcterms:W3CDTF">2022-03-07T01:30:00Z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9E9A9BDCCD0F4BB4B780F1C67A16302C</vt:lpwstr>
  </property>
</Properties>
</file>